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4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Progettazione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di un Episodio di Apprendimento Situato</w:t>
      </w: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5"/>
        <w:gridCol w:w="7125"/>
        <w:tblGridChange w:id="0">
          <w:tblGrid>
            <w:gridCol w:w="3195"/>
            <w:gridCol w:w="712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59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Paolo Brunori</w:t>
            </w:r>
          </w:p>
        </w:tc>
      </w:tr>
    </w:tbl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0"/>
        <w:gridCol w:w="7140"/>
        <w:tblGridChange w:id="0">
          <w:tblGrid>
            <w:gridCol w:w="3180"/>
            <w:gridCol w:w="714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Target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[indicare qui la classe, numero di alunni e breve descrizione]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 1^B Scuola secondaria di 1° grado; n° alunni: 23, di cui 12 femmine e 11 maschi. Un alunno è H con un PEI, quattro alunni presentano uno svantaggio socio-economico-culturale-linguistico con PDI, un alunno è DSA con PDP.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Disciplina/e coinvolte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Musica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Traguardo/i di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Copia dalle Indicazioni nazionali/Linee Guida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1.7322834645671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-L’alunno articola combinazioni ritmiche applicando schemi elementari; le esegue con la voce/il corpo/strumenti a percussione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Dimensione/i di competenza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5.19685039370046" w:right="0" w:hanging="283.4645669291333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distinguere e isolare all’ascolto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cellula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che si ripete nel tempo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5.19685039370046" w:right="0" w:hanging="283.46456692913335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Riesce a memorizzare e a collegare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cellula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ad un disegno, un grafico, una serie di figure musicali, un colore, un gesto, una successione di suoni se vengono associati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5.19685039370046" w:right="0" w:hanging="283.46456692913335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selezionare, classificare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ritmiche (formate da più cellule ritmiche ricorrenti) proposte dal vivo o in ascolto registrato raggruppandole e catalogandole a seconda della presenza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cellule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ritmiche differenti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scomporre e ricomporre in modo originale e personale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ascoltata ed eseguita utilizzando anche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cellule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ritmiche diverse rispetto a quelle proposte;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Idea un disegno, un grafico, una serie di figure musicali, un colore, un gesto, una successione di suoni che identifichino la sua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originale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Riesce ad eseguire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da lui elaborata (con la voce, il corpo o uno strumento a percussione) isolata dalle altre e/o unita ad una serie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ritmiche create dai compagni di classe.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Indicatore/i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8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compone una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sequenza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ritmica in modo personale e creativo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memorizza, la illustra graficamente e la esegue musicalmente con la voce/il corpo/gli strumenti musicali a disposizione</w:t>
            </w:r>
          </w:p>
        </w:tc>
      </w:tr>
      <w:tr>
        <w:trPr>
          <w:trHeight w:val="1560" w:hRule="atLeast"/>
        </w:trPr>
        <w:tc>
          <w:tcPr/>
          <w:p w:rsidR="00000000" w:rsidDel="00000000" w:rsidP="00000000" w:rsidRDefault="00000000" w:rsidRPr="00000000" w14:paraId="00000016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 avere vincoli fisici o psicologici che limitino la capacità di eseguire una successione di accenti musicali con la voce, il corpo, uno strumento musicale a percussione.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line="259" w:lineRule="auto"/>
              <w:ind w:left="425.19685039370046" w:hanging="283.46456692913335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Conoscenza di alcune figure musicali, della nozione di Tempo e di battuta nel sistema di notazione musicale tradizionale.</w:t>
            </w:r>
          </w:p>
        </w:tc>
      </w:tr>
    </w:tbl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8850"/>
        <w:tblGridChange w:id="0">
          <w:tblGrid>
            <w:gridCol w:w="1830"/>
            <w:gridCol w:w="8850"/>
          </w:tblGrid>
        </w:tblGridChange>
      </w:tblGrid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Titolo dell'EAS</w:t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Lobster" w:cs="Lobster" w:eastAsia="Lobster" w:hAnsi="Lobster"/>
                <w:b w:val="1"/>
                <w:i w:val="1"/>
                <w:sz w:val="48"/>
                <w:szCs w:val="48"/>
              </w:rPr>
            </w:pPr>
            <w:r w:rsidDel="00000000" w:rsidR="00000000" w:rsidRPr="00000000">
              <w:rPr>
                <w:rFonts w:ascii="Lobster" w:cs="Lobster" w:eastAsia="Lobster" w:hAnsi="Lobster"/>
                <w:b w:val="1"/>
                <w:i w:val="1"/>
                <w:sz w:val="48"/>
                <w:szCs w:val="48"/>
                <w:rtl w:val="0"/>
              </w:rPr>
              <w:t xml:space="preserve">Dalla lettura all’improvvisazione ritmica</w:t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4185"/>
        <w:gridCol w:w="3465"/>
        <w:gridCol w:w="1200"/>
        <w:tblGridChange w:id="0">
          <w:tblGrid>
            <w:gridCol w:w="1830"/>
            <w:gridCol w:w="4185"/>
            <w:gridCol w:w="3465"/>
            <w:gridCol w:w="1200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8"/>
                <w:szCs w:val="48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8"/>
                <w:szCs w:val="48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problem setting]</w:t>
            </w:r>
          </w:p>
        </w:tc>
        <w:tc>
          <w:tcPr>
            <w:shd w:fill="7f6000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36"/>
                <w:szCs w:val="36"/>
                <w:rtl w:val="0"/>
              </w:rPr>
              <w:t xml:space="preserve">Azioni insegnante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f6000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ffff"/>
                <w:sz w:val="36"/>
                <w:szCs w:val="36"/>
                <w:rtl w:val="0"/>
              </w:rPr>
              <w:t xml:space="preserve">Azioni studente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ASSEGNA IL COMPITO: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assegna il compito di esplorare i diversi suoni che si ottengono utilizzando solo le parti del proprio corpo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invita gli alunni ad ascoltare un file audio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A1)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contenenti facili sequenze ritmiche eseguite con la sola body-percussion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 agli studenti di interpretare liberamente, secondo logica, una o più schede didattiche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S1)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contenenti simboli alternativi a quelli della notazione musicale tradizionale illustranti alcune possibilità ritmiche offerte dalla body-percussion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assegna il compito di ricercare sul web esibizioni di gruppi musicali che si fondano esclusivamente sul ritmo, senza la presenza di strumenti melodici tradizionali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Esplora i suoni del proprio corpo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 l’ audio registrato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A1)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 lo ripete; interpreta le schede didattiche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S1)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ed esegue con il corpo i ritmi in esse riportati cercando di comprendere il nesso fra simboli geometrici e suoni da realizzare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 sul Web di video musicali con attività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Body-percussion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(parola chiave)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Beat-box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(altra parola-chiave)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tempo individuale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(lavoro da svolgere a casa)</w:t>
            </w:r>
          </w:p>
        </w:tc>
      </w:tr>
      <w:tr>
        <w:trPr>
          <w:trHeight w:val="1580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ESPONE IL FRAMEWOORK CONCETTUALE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40" w:lineRule="auto"/>
              <w:ind w:left="141.7322834645671" w:hanging="15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esegue alla tastiera alcuni frammenti musicali di melodie (suonando sia a tempo che fuori tempo, con o senza un ritmo di accompagnamento oppure la stessa melodia ma con accompagnamenti ritmici diversi); inoltre con alcuni strumenti a percussione alterna momenti di accompagnamento a momenti di improvvisazione invitando gli alunni a individuare i cambiamenti.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 il docente suonare frammenti musicali di melodie e sequenze ritmiche e cerca di individuare ogni cambiamento in atto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 minuti</w:t>
            </w:r>
          </w:p>
        </w:tc>
      </w:tr>
      <w:tr>
        <w:trPr>
          <w:trHeight w:val="1460" w:hRule="atLeast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FORNISCE LO STIMOLO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la visione di un video con attività musicali di tipo ritmico svolte da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V2)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sottopone agli studenti una serie di schede didattiche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S2)</w:t>
            </w:r>
            <w:r w:rsidDel="00000000" w:rsidR="00000000" w:rsidRPr="00000000">
              <w:rPr>
                <w:rFonts w:ascii="Calibri" w:cs="Calibri" w:eastAsia="Calibri" w:hAnsi="Calibri"/>
                <w:color w:val="a61c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chiedendo loro di scegliere una o più modalità di esecuzione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esegue dal vivo delle sequenze ritmiche chiedendo agli alunni di memorizzare i passaggi musicali e possibilmente ripeterli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Guarda il video musicale proposto dall’insegnante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V2)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Osserva le schede musicali preparate dal docente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1c00"/>
                <w:sz w:val="20"/>
                <w:szCs w:val="20"/>
                <w:rtl w:val="0"/>
              </w:rPr>
              <w:t xml:space="preserve">(allegato S2)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sceglie una modalità di esecuzione (con il corpo, con la voce, con strumenti a percussione)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 e si sforza di memorizzare e ripetere ciò che esegue l’insegnante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minuti</w:t>
            </w:r>
          </w:p>
        </w:tc>
      </w:tr>
      <w:tr>
        <w:trPr>
          <w:trHeight w:val="1340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DÀ LA CONSEGNA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spacing w:line="240" w:lineRule="auto"/>
              <w:ind w:left="141.7322834645671" w:hanging="15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 di scoprire le differenze di suono e le modalità di utilizzo di vari strumenti a percussione a disposizione della classe, di prevedere il loro utilizzo nelle schede musicali appositamente elaborate, di pensare ad un loro utilizzo come forma di accompagnamento ritmico ad un brano conosciuto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9"/>
              </w:numPr>
              <w:spacing w:line="240" w:lineRule="auto"/>
              <w:ind w:left="141.7322834645671" w:hanging="15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partendo dalle proposte degli alunni, guida la classe alla scoperta delle differenze fra le varie cellule ritmiche presenti nelle schede didattiche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Esplora il materiale portato dal docente (strumenti musicali, schede musicali, basi musicali, video)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40" w:lineRule="auto"/>
              <w:ind w:left="141.732283464567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analizzando le schede fornite dall’insegnante interpreta il nesso fra simboli e suoni (le cellule ritmiche)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minuti</w:t>
            </w:r>
          </w:p>
        </w:tc>
      </w:tr>
    </w:tbl>
    <w:p w:rsidR="00000000" w:rsidDel="00000000" w:rsidP="00000000" w:rsidRDefault="00000000" w:rsidRPr="00000000" w14:paraId="0000004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5"/>
        <w:gridCol w:w="7665"/>
        <w:gridCol w:w="1200"/>
        <w:tblGridChange w:id="0">
          <w:tblGrid>
            <w:gridCol w:w="1845"/>
            <w:gridCol w:w="7665"/>
            <w:gridCol w:w="1200"/>
          </w:tblGrid>
        </w:tblGridChange>
      </w:tblGrid>
      <w:tr>
        <w:trPr>
          <w:trHeight w:val="1200" w:hRule="atLeast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learning by doing]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Inventa almeno due brevi sequenze ritmiche utilizzando una simbologia a te familiare (devi riuscire a far suonare tutti all’interno del tuo gruppo senza ripetere assieme il medesimo ritmo)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Modalità organizzative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classe si dividerà in gruppi formati da 4 elementi; verranno messi a disposizione di ciascun gruppo 4 strumenti a percussione diversi, due leggii musicali, 4 schede didattiche da completare con le proprie idee musicali. Le schede avranno prestampati 4 grandi quadrati (uno per ciascun accento della battuta musicale) suddivisi a loro volta in 4 riquadri (uno per ciascun alunno) in cui gli studenti inseriranno simboli grafici di loro gradimento per segnalare la presenza di un accento da suonare con il loro strumento o con la voce (beat-box) o con il corpo (body-percussion). Per l’esecuzione musicale è previsto che ogni gruppo si divida in coppie che dovranno posizionarsi una di fronte all’altra andando a formare un quadrato. Facendo riferimento ai riquadri presenti sulla scheda didattica, ogni alunno riconoscerà cosa e quando dovrà suonare in base all’angolo che occupa. Per non infastidirsi a vicenda i gruppi potranno esercitarsi in locali adiacenti ma separati (nel corridoio, per le scale, all’ingresso della scuola, nella propria aula); oppure posizionandosi agli angoli di uno spazio molto grande (aula magna, cortile, giardino, ecc..).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Tempi dell’attività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lo svolgimento dell’attività sono previsti 30 minuti.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Organizzazione del lavoro di gruppo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All’interno del gruppo verrà individuato il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Relatore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(che durante la fase iniziale del Debriefing avrà il compito di condividere con gli altri gruppi l’esperienza svolta), il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Moderatore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(che si relazionerà con il docente e dovrà conciliare all’interno del gruppo le varie proposte trovando una soluzione equa per tutti),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l’archivista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(che si occuperà di tutto il materiale comprese le schede didattiche, i leggii musicali e gli strumenti musicali in dotazione), il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Direttore musicale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(che oltre a dare il via all’esecuzione e programmare quando, quanto e dove fare le prove di gruppo, fornirà ai compagni le indicazioni agogiche, dinamiche e timbriche su come eseguire la sequenza ritmica).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quanto riguarda l’esecuzione delle sequenze ritmiche, gli studenti si posizioneranno dapprima a formare un quadrato con lo sguardo rivolto verso l’interno dello stesso; in un secondo momento, pur rimanendo in formazione quadrata, con lo sguardo rivolto all’esterno. Infine potranno scambiarsi i ruoli ruotando verso destra o sinistra.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reflective learning]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Debriefing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questa fase i Relatori di ciascun gruppo racconteranno la loro esperienza didattica e i vari Direttori musicali daranno il via all’esecuzione delle due sequenze ritmiche composte dal quartetto. Il Docente, se lo riterrà opportuno, potrà chiedere agli altri gruppi di ripetere le sequenze ascoltate.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Terminato questo primo momento di condivisione si darà il via ad un momento di riflessione in cui, 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otto la guida del docente, gli alunni esprimeranno le loro idee, racconteranno i problemi sorti, le sensazioni vissute, le soluzioni ai problemi escogitate, le loro delusioni e le loro soddisfazioni. L’insegnante guiderà la discussione proponendo loro dei quesiti: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perché si utilizza il ritmo nella musica e in quali manifestazioni umane o in natura esiste una successione di eventi che si ripetono nel tempo?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individuate nei video presi in esame gli aspetti in comune con l’attività svolta in classe.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quali difficoltà avete incontrato nel suonare a tempo le vostre sequenze ritmiche e quale strategia avete utilizzato per raggiungere l’obiettivo?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docente inoltre raccoglierà le parole chiave scaturite dal dibattito degli alunni (strumenti a percussione, accenti musicali e ritmo, cellula e/o sequenza ritmica, Body-percussion, Beat-box, lettura ritmica, partitura musicale, improvvisazione ritmica, memoria musicale, ecc..) proiettandole sulla LIM o scrivendole alla lavagna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l’insegnante citerà le “parole-chiave” non ancora scaturite dal dibattito e chiederà agli studenti cosa fanno venire loro in mente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docente raccoglierà le proposte di nuove attività che dovessero eventualmente scaturire dalla fantasia degli alunni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chiederà agli alunni che cosa hanno imparato di nuovo che prima non conoscevano o non si erano mai soffermati a pensarci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40" w:lineRule="auto"/>
              <w:ind w:left="141.7322834645671" w:hanging="141.7322834645671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domanderà agli studenti quale utilizzo potrebbero avere le sequenze ritmiche da loro create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720" w:firstLine="0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Lezione a posteriori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docente prende la parola dichiarando la sua soddisfazione e gratificando i gruppi più meritevoli; trae le conclusioni finali sull’attività rivelando alla classe il tema principale e i contenuti ad esso collegati scaturiti dallo svolgimento dell’attività. Corregge i termini impropri, debella le false convinzioni; estrapola i concetti essenziali che serviranno per il proseguo del cammino didattico della classe. Completa il quadro delle conoscenze collegando quanto imparato alla notazione musicale tradizionale e alle situazioni musicali più comuni; rende consapevoli gli studenti del grado di abilità raggiunto evidenziando le cose ancora da imparare “a fare” e quelle in cui si sono mostrati già competenti. Fa presente loro che la competenza musicale utilizzata durante l’attività, essendo di tipo trasversale, può essere utilizzata in vari ambienti e per svariate attività (serie di esempi).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L’insegnante, terminata l’E.A.S., propone come compito a casa la ricerca di nuove informazioni che introdurranno l’E.A.S. successivo.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minuti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minuti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minuti</w:t>
            </w:r>
          </w:p>
        </w:tc>
      </w:tr>
    </w:tbl>
    <w:p w:rsidR="00000000" w:rsidDel="00000000" w:rsidP="00000000" w:rsidRDefault="00000000" w:rsidRPr="00000000" w14:paraId="0000009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8880"/>
        <w:tblGridChange w:id="0">
          <w:tblGrid>
            <w:gridCol w:w="1830"/>
            <w:gridCol w:w="8880"/>
          </w:tblGrid>
        </w:tblGridChange>
      </w:tblGrid>
      <w:tr>
        <w:tc>
          <w:tcPr/>
          <w:p w:rsidR="00000000" w:rsidDel="00000000" w:rsidP="00000000" w:rsidRDefault="00000000" w:rsidRPr="00000000" w14:paraId="00000095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Allegati citati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Allegato A1 (audio mp3):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https://drive.google.com/open?id=1JNp1J6ZgyQZxUqESEyxNuJec0GSD_Ogl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Allegato S1 (foto jpg):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https://drive.google.com/open?id=1_4A-5xjmP8noWCTF5UYnavtG87Qfp_l2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Allegato S1 (foglio pdf):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https://drive.google.com/open?id=1mIV8Eay3fJuFBFhK-welNm6OUP8lLHOZ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Allegato S2 (foto jpg):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https://drive.google.com/open?id=1XJjbK6uJmUPv27277K2FcqYm0eas37Tz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Allegato S2 (foglio pdf):</w:t>
            </w:r>
          </w:p>
          <w:p w:rsidR="00000000" w:rsidDel="00000000" w:rsidP="00000000" w:rsidRDefault="00000000" w:rsidRPr="00000000" w14:paraId="0000009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https://drive.google.com/open?id=1JiBmd649a9f62-R6IhuSlwXK8AL7YpfU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open?id=1JiBmd649a9f62-R6IhuSlwXK8AL7YpfU" TargetMode="External"/><Relationship Id="rId9" Type="http://schemas.openxmlformats.org/officeDocument/2006/relationships/hyperlink" Target="https://drive.google.com/open?id=1XJjbK6uJmUPv27277K2FcqYm0eas37Tz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JNp1J6ZgyQZxUqESEyxNuJec0GSD_Ogl" TargetMode="External"/><Relationship Id="rId7" Type="http://schemas.openxmlformats.org/officeDocument/2006/relationships/hyperlink" Target="https://drive.google.com/open?id=1_4A-5xjmP8noWCTF5UYnavtG87Qfp_l2" TargetMode="External"/><Relationship Id="rId8" Type="http://schemas.openxmlformats.org/officeDocument/2006/relationships/hyperlink" Target="https://drive.google.com/open?id=1mIV8Eay3fJuFBFhK-welNm6OUP8lLHO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