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CC" w:rsidRDefault="007941A1" w:rsidP="001A71C8">
      <w:pPr>
        <w:spacing w:after="0" w:line="360" w:lineRule="auto"/>
        <w:jc w:val="center"/>
        <w:rPr>
          <w:rFonts w:ascii="Verdana" w:hAnsi="Verdana"/>
          <w:b/>
          <w:sz w:val="20"/>
          <w:szCs w:val="20"/>
        </w:rPr>
      </w:pPr>
      <w:bookmarkStart w:id="0" w:name="_GoBack"/>
      <w:bookmarkEnd w:id="0"/>
      <w:r w:rsidRPr="001A71C8">
        <w:rPr>
          <w:rFonts w:ascii="Verdana" w:hAnsi="Verdana"/>
          <w:b/>
          <w:sz w:val="20"/>
          <w:szCs w:val="20"/>
        </w:rPr>
        <w:t xml:space="preserve">Report sulla costruzione delle competenze del progetto </w:t>
      </w:r>
      <w:r w:rsidRPr="001A71C8">
        <w:rPr>
          <w:rFonts w:ascii="Verdana" w:hAnsi="Verdana"/>
          <w:b/>
          <w:i/>
          <w:sz w:val="20"/>
          <w:szCs w:val="20"/>
        </w:rPr>
        <w:t xml:space="preserve">“Saperi e competenze per una nuova cittadinanza” </w:t>
      </w:r>
      <w:r w:rsidRPr="001A71C8">
        <w:rPr>
          <w:rFonts w:ascii="Verdana" w:hAnsi="Verdana"/>
          <w:b/>
          <w:sz w:val="20"/>
          <w:szCs w:val="20"/>
        </w:rPr>
        <w:t>della rete  con scuola capofila “Galileo Ferraris” di Falconara</w:t>
      </w:r>
    </w:p>
    <w:p w:rsidR="001A71C8" w:rsidRPr="001A71C8" w:rsidRDefault="001A71C8" w:rsidP="001A71C8">
      <w:pPr>
        <w:spacing w:after="0" w:line="360" w:lineRule="auto"/>
        <w:rPr>
          <w:rFonts w:ascii="Verdana" w:hAnsi="Verdana"/>
          <w:b/>
          <w:sz w:val="20"/>
          <w:szCs w:val="20"/>
        </w:rPr>
      </w:pPr>
    </w:p>
    <w:p w:rsidR="00A83798" w:rsidRDefault="005422CC" w:rsidP="001A71C8">
      <w:pPr>
        <w:tabs>
          <w:tab w:val="left" w:pos="2745"/>
        </w:tabs>
        <w:spacing w:after="0" w:line="360" w:lineRule="auto"/>
        <w:jc w:val="both"/>
        <w:rPr>
          <w:rFonts w:ascii="Verdana" w:hAnsi="Verdana"/>
          <w:sz w:val="20"/>
          <w:szCs w:val="20"/>
        </w:rPr>
      </w:pPr>
      <w:r w:rsidRPr="001A71C8">
        <w:rPr>
          <w:rFonts w:ascii="Verdana" w:hAnsi="Verdana"/>
          <w:sz w:val="20"/>
          <w:szCs w:val="20"/>
        </w:rPr>
        <w:t xml:space="preserve"> Gli istituti comprensivi</w:t>
      </w:r>
      <w:r w:rsidR="007941A1" w:rsidRPr="001A71C8">
        <w:rPr>
          <w:rFonts w:ascii="Verdana" w:hAnsi="Verdana"/>
          <w:sz w:val="20"/>
          <w:szCs w:val="20"/>
        </w:rPr>
        <w:t xml:space="preserve"> Falconara Nord; Cittadella Centro; “ Levi Montalcini Chiaravalle”,  </w:t>
      </w:r>
      <w:proofErr w:type="spellStart"/>
      <w:r w:rsidR="007941A1" w:rsidRPr="001A71C8">
        <w:rPr>
          <w:rFonts w:ascii="Verdana" w:hAnsi="Verdana"/>
          <w:sz w:val="20"/>
          <w:szCs w:val="20"/>
        </w:rPr>
        <w:t>Montesanvito</w:t>
      </w:r>
      <w:proofErr w:type="spellEnd"/>
      <w:r w:rsidRPr="001A71C8">
        <w:rPr>
          <w:rFonts w:ascii="Verdana" w:hAnsi="Verdana"/>
          <w:sz w:val="20"/>
          <w:szCs w:val="20"/>
        </w:rPr>
        <w:t xml:space="preserve"> </w:t>
      </w:r>
      <w:r w:rsidR="007941A1" w:rsidRPr="001A71C8">
        <w:rPr>
          <w:rFonts w:ascii="Verdana" w:hAnsi="Verdana"/>
          <w:sz w:val="20"/>
          <w:szCs w:val="20"/>
        </w:rPr>
        <w:t xml:space="preserve"> </w:t>
      </w:r>
      <w:proofErr w:type="spellStart"/>
      <w:r w:rsidR="007941A1" w:rsidRPr="001A71C8">
        <w:rPr>
          <w:rFonts w:ascii="Verdana" w:hAnsi="Verdana"/>
          <w:sz w:val="20"/>
          <w:szCs w:val="20"/>
        </w:rPr>
        <w:t>coordianati</w:t>
      </w:r>
      <w:proofErr w:type="spellEnd"/>
      <w:r w:rsidR="007941A1" w:rsidRPr="001A71C8">
        <w:rPr>
          <w:rFonts w:ascii="Verdana" w:hAnsi="Verdana"/>
          <w:sz w:val="20"/>
          <w:szCs w:val="20"/>
        </w:rPr>
        <w:t xml:space="preserve"> dall’IC Galileo </w:t>
      </w:r>
      <w:proofErr w:type="spellStart"/>
      <w:r w:rsidR="007941A1" w:rsidRPr="001A71C8">
        <w:rPr>
          <w:rFonts w:ascii="Verdana" w:hAnsi="Verdana"/>
          <w:sz w:val="20"/>
          <w:szCs w:val="20"/>
        </w:rPr>
        <w:t>ferraris</w:t>
      </w:r>
      <w:proofErr w:type="spellEnd"/>
      <w:r w:rsidR="007941A1" w:rsidRPr="001A71C8">
        <w:rPr>
          <w:rFonts w:ascii="Verdana" w:hAnsi="Verdana"/>
          <w:sz w:val="20"/>
          <w:szCs w:val="20"/>
        </w:rPr>
        <w:t xml:space="preserve"> di Falconara in qualità di scuola capofila  </w:t>
      </w:r>
      <w:r w:rsidRPr="001A71C8">
        <w:rPr>
          <w:rFonts w:ascii="Verdana" w:hAnsi="Verdana"/>
          <w:sz w:val="20"/>
          <w:szCs w:val="20"/>
        </w:rPr>
        <w:t>hanno attivato un percorso di formazione</w:t>
      </w:r>
      <w:r w:rsidR="00367745" w:rsidRPr="001A71C8">
        <w:rPr>
          <w:rFonts w:ascii="Verdana" w:hAnsi="Verdana"/>
          <w:sz w:val="20"/>
          <w:szCs w:val="20"/>
        </w:rPr>
        <w:t xml:space="preserve"> per  promuovere </w:t>
      </w:r>
      <w:r w:rsidRPr="001A71C8">
        <w:rPr>
          <w:rFonts w:ascii="Verdana" w:hAnsi="Verdana"/>
          <w:sz w:val="20"/>
          <w:szCs w:val="20"/>
        </w:rPr>
        <w:t xml:space="preserve"> </w:t>
      </w:r>
      <w:r w:rsidR="00367745" w:rsidRPr="001A71C8">
        <w:rPr>
          <w:rFonts w:ascii="Verdana" w:hAnsi="Verdana"/>
          <w:sz w:val="20"/>
          <w:szCs w:val="20"/>
        </w:rPr>
        <w:t>una sperimentazione di aula relativa alle Indicazioni Nazionali e alla valutazione di certificazioni delle competenze disciplinari, trasversali  e di cittadinanza in</w:t>
      </w:r>
      <w:r w:rsidR="007941A1" w:rsidRPr="001A71C8">
        <w:rPr>
          <w:rFonts w:ascii="Verdana" w:hAnsi="Verdana"/>
          <w:sz w:val="20"/>
          <w:szCs w:val="20"/>
        </w:rPr>
        <w:t xml:space="preserve"> rapporto al Modello del MIUR, sostenuti da </w:t>
      </w:r>
      <w:r w:rsidR="00367745" w:rsidRPr="001A71C8">
        <w:rPr>
          <w:rFonts w:ascii="Verdana" w:hAnsi="Verdana"/>
          <w:sz w:val="20"/>
          <w:szCs w:val="20"/>
        </w:rPr>
        <w:t>CVM Marche, qual</w:t>
      </w:r>
      <w:r w:rsidR="007941A1" w:rsidRPr="001A71C8">
        <w:rPr>
          <w:rFonts w:ascii="Verdana" w:hAnsi="Verdana"/>
          <w:sz w:val="20"/>
          <w:szCs w:val="20"/>
        </w:rPr>
        <w:t>e</w:t>
      </w:r>
      <w:r w:rsidR="00367745" w:rsidRPr="001A71C8">
        <w:rPr>
          <w:rFonts w:ascii="Verdana" w:hAnsi="Verdana"/>
          <w:sz w:val="20"/>
          <w:szCs w:val="20"/>
        </w:rPr>
        <w:t xml:space="preserve"> ent</w:t>
      </w:r>
      <w:r w:rsidR="007941A1" w:rsidRPr="001A71C8">
        <w:rPr>
          <w:rFonts w:ascii="Verdana" w:hAnsi="Verdana"/>
          <w:sz w:val="20"/>
          <w:szCs w:val="20"/>
        </w:rPr>
        <w:t>e</w:t>
      </w:r>
      <w:r w:rsidR="00367745" w:rsidRPr="001A71C8">
        <w:rPr>
          <w:rFonts w:ascii="Verdana" w:hAnsi="Verdana"/>
          <w:sz w:val="20"/>
          <w:szCs w:val="20"/>
        </w:rPr>
        <w:t xml:space="preserve"> accreditat</w:t>
      </w:r>
      <w:r w:rsidR="007941A1" w:rsidRPr="001A71C8">
        <w:rPr>
          <w:rFonts w:ascii="Verdana" w:hAnsi="Verdana"/>
          <w:sz w:val="20"/>
          <w:szCs w:val="20"/>
        </w:rPr>
        <w:t>o</w:t>
      </w:r>
      <w:r w:rsidR="00367745" w:rsidRPr="001A71C8">
        <w:rPr>
          <w:rFonts w:ascii="Verdana" w:hAnsi="Verdana"/>
          <w:sz w:val="20"/>
          <w:szCs w:val="20"/>
        </w:rPr>
        <w:t xml:space="preserve"> alla formazione dallo stesso MIUR</w:t>
      </w:r>
      <w:r w:rsidR="001A71C8">
        <w:rPr>
          <w:rFonts w:ascii="Verdana" w:hAnsi="Verdana"/>
          <w:sz w:val="20"/>
          <w:szCs w:val="20"/>
        </w:rPr>
        <w:t>.</w:t>
      </w:r>
      <w:r w:rsidR="00367745" w:rsidRPr="001A71C8">
        <w:rPr>
          <w:rFonts w:ascii="Verdana" w:hAnsi="Verdana"/>
          <w:sz w:val="20"/>
          <w:szCs w:val="20"/>
        </w:rPr>
        <w:t xml:space="preserve"> </w:t>
      </w:r>
    </w:p>
    <w:p w:rsidR="001A71C8" w:rsidRPr="001A71C8" w:rsidRDefault="001A71C8" w:rsidP="001A71C8">
      <w:pPr>
        <w:tabs>
          <w:tab w:val="left" w:pos="2745"/>
        </w:tabs>
        <w:spacing w:after="0" w:line="360" w:lineRule="auto"/>
        <w:jc w:val="both"/>
        <w:rPr>
          <w:rFonts w:ascii="Verdana" w:hAnsi="Verdana"/>
          <w:sz w:val="20"/>
          <w:szCs w:val="20"/>
        </w:rPr>
      </w:pPr>
    </w:p>
    <w:p w:rsidR="00326FCE" w:rsidRPr="001A71C8" w:rsidRDefault="007941A1" w:rsidP="001A71C8">
      <w:pPr>
        <w:tabs>
          <w:tab w:val="left" w:pos="2745"/>
        </w:tabs>
        <w:spacing w:after="0" w:line="360" w:lineRule="auto"/>
        <w:jc w:val="both"/>
        <w:rPr>
          <w:rFonts w:ascii="Verdana" w:hAnsi="Verdana"/>
          <w:sz w:val="20"/>
          <w:szCs w:val="20"/>
        </w:rPr>
      </w:pPr>
      <w:r w:rsidRPr="001A71C8">
        <w:rPr>
          <w:rFonts w:ascii="Verdana" w:hAnsi="Verdana"/>
          <w:sz w:val="20"/>
          <w:szCs w:val="20"/>
        </w:rPr>
        <w:t xml:space="preserve">Il Percorso si è articolato </w:t>
      </w:r>
      <w:r w:rsidR="001A71C8" w:rsidRPr="001A71C8">
        <w:rPr>
          <w:rFonts w:ascii="Verdana" w:hAnsi="Verdana"/>
          <w:sz w:val="20"/>
          <w:szCs w:val="20"/>
        </w:rPr>
        <w:t>nei  sei  seguenti moduli .</w:t>
      </w:r>
    </w:p>
    <w:p w:rsidR="00326FCE" w:rsidRPr="001A71C8" w:rsidRDefault="00326FCE" w:rsidP="001A71C8">
      <w:pPr>
        <w:pStyle w:val="Puntoelenco"/>
        <w:numPr>
          <w:ilvl w:val="0"/>
          <w:numId w:val="0"/>
        </w:numPr>
        <w:spacing w:line="360" w:lineRule="auto"/>
        <w:rPr>
          <w:rFonts w:ascii="Verdana" w:hAnsi="Verdana"/>
          <w:b/>
          <w:sz w:val="20"/>
          <w:szCs w:val="20"/>
        </w:rPr>
      </w:pPr>
      <w:r w:rsidRPr="001A71C8">
        <w:rPr>
          <w:rFonts w:ascii="Verdana" w:hAnsi="Verdana"/>
          <w:b/>
          <w:sz w:val="20"/>
          <w:szCs w:val="20"/>
          <w:u w:val="single"/>
        </w:rPr>
        <w:t>Primo modulo</w:t>
      </w:r>
      <w:r w:rsidRPr="001A71C8">
        <w:rPr>
          <w:rFonts w:ascii="Verdana" w:hAnsi="Verdana"/>
          <w:sz w:val="20"/>
          <w:szCs w:val="20"/>
        </w:rPr>
        <w:t xml:space="preserve">: </w:t>
      </w:r>
      <w:r w:rsidRPr="001A71C8">
        <w:rPr>
          <w:rFonts w:ascii="Verdana" w:hAnsi="Verdana"/>
          <w:b/>
          <w:sz w:val="20"/>
          <w:szCs w:val="20"/>
        </w:rPr>
        <w:t>Contratto formativo. La revisione dei curricoli scolastici  e la didattica per  competenze</w:t>
      </w:r>
    </w:p>
    <w:p w:rsidR="00326FCE" w:rsidRPr="001A71C8" w:rsidRDefault="00326FCE" w:rsidP="001A71C8">
      <w:pPr>
        <w:pStyle w:val="Puntoelenco"/>
        <w:numPr>
          <w:ilvl w:val="0"/>
          <w:numId w:val="0"/>
        </w:numPr>
        <w:spacing w:line="360" w:lineRule="auto"/>
        <w:rPr>
          <w:rFonts w:ascii="Verdana" w:hAnsi="Verdana"/>
          <w:b/>
          <w:sz w:val="20"/>
          <w:szCs w:val="20"/>
        </w:rPr>
      </w:pPr>
    </w:p>
    <w:p w:rsidR="00326FCE" w:rsidRPr="001A71C8" w:rsidRDefault="003853D8" w:rsidP="001A71C8">
      <w:pPr>
        <w:tabs>
          <w:tab w:val="left" w:pos="2745"/>
        </w:tabs>
        <w:spacing w:after="0" w:line="360" w:lineRule="auto"/>
        <w:jc w:val="both"/>
        <w:rPr>
          <w:rFonts w:ascii="Verdana" w:hAnsi="Verdana"/>
          <w:sz w:val="20"/>
          <w:szCs w:val="20"/>
        </w:rPr>
      </w:pPr>
      <w:r w:rsidRPr="001A71C8">
        <w:rPr>
          <w:rFonts w:ascii="Verdana" w:hAnsi="Verdana"/>
          <w:sz w:val="20"/>
          <w:szCs w:val="20"/>
        </w:rPr>
        <w:t xml:space="preserve">L’incipit del Corso si è concretizzato nella presa di coscienza dei bisogni formativi dei docenti  attraverso una Contratto  che ha una  duplice funzione: quella di orientamento per il formatore che mira il suo intervento sulla base delle reali esigenze dei corsisti e quello  di  fornire uno strumento di autovalutazione ai  docenti che possono  monitorare il punto di partenza del percorso e il punto di arrivo, prendendo atto dell’incremento cognitivo  conseguito. </w:t>
      </w:r>
      <w:r w:rsidR="001A71C8" w:rsidRPr="001A71C8">
        <w:rPr>
          <w:rFonts w:ascii="Verdana" w:hAnsi="Verdana"/>
          <w:sz w:val="20"/>
          <w:szCs w:val="20"/>
        </w:rPr>
        <w:t xml:space="preserve"> </w:t>
      </w:r>
      <w:r w:rsidR="00326FCE" w:rsidRPr="001A71C8">
        <w:rPr>
          <w:rFonts w:ascii="Verdana" w:hAnsi="Verdana"/>
          <w:sz w:val="20"/>
          <w:szCs w:val="20"/>
        </w:rPr>
        <w:t>Dall’analisi dei bisogni formativi è emersa l’esigenza di dare un quadro teorico ai docenti  sulla base del quale motivare la revisione del proprio insegnamento  per la costruzi</w:t>
      </w:r>
      <w:r w:rsidR="00785079" w:rsidRPr="001A71C8">
        <w:rPr>
          <w:rFonts w:ascii="Verdana" w:hAnsi="Verdana"/>
          <w:sz w:val="20"/>
          <w:szCs w:val="20"/>
        </w:rPr>
        <w:t>o</w:t>
      </w:r>
      <w:r w:rsidR="00964BCF" w:rsidRPr="001A71C8">
        <w:rPr>
          <w:rFonts w:ascii="Verdana" w:hAnsi="Verdana"/>
          <w:sz w:val="20"/>
          <w:szCs w:val="20"/>
        </w:rPr>
        <w:t xml:space="preserve">ne di curricoli per competenze </w:t>
      </w:r>
      <w:r w:rsidR="00785079" w:rsidRPr="001A71C8">
        <w:rPr>
          <w:rFonts w:ascii="Verdana" w:hAnsi="Verdana"/>
          <w:sz w:val="20"/>
          <w:szCs w:val="20"/>
        </w:rPr>
        <w:t xml:space="preserve">L’attenzione è stata portata  sull’elemento  profondamente innovativo  che lega la scuola alla società, la teoria alla pratica attraverso la logica del </w:t>
      </w:r>
      <w:r w:rsidR="00785079" w:rsidRPr="001A71C8">
        <w:rPr>
          <w:rFonts w:ascii="Verdana" w:hAnsi="Verdana"/>
          <w:i/>
          <w:sz w:val="20"/>
          <w:szCs w:val="20"/>
        </w:rPr>
        <w:t>Compito autentico o in situazione</w:t>
      </w:r>
      <w:r w:rsidR="00785079" w:rsidRPr="001A71C8">
        <w:rPr>
          <w:rFonts w:ascii="Verdana" w:hAnsi="Verdana"/>
          <w:sz w:val="20"/>
          <w:szCs w:val="20"/>
        </w:rPr>
        <w:t xml:space="preserve"> in cui l’allievo viene avviato a </w:t>
      </w:r>
      <w:r w:rsidR="00964BCF" w:rsidRPr="001A71C8">
        <w:rPr>
          <w:rFonts w:ascii="Verdana" w:hAnsi="Verdana"/>
          <w:sz w:val="20"/>
          <w:szCs w:val="20"/>
        </w:rPr>
        <w:t xml:space="preserve">risolvere problemi per </w:t>
      </w:r>
      <w:r w:rsidR="00785079" w:rsidRPr="001A71C8">
        <w:rPr>
          <w:rFonts w:ascii="Verdana" w:hAnsi="Verdana"/>
          <w:sz w:val="20"/>
          <w:szCs w:val="20"/>
        </w:rPr>
        <w:t>diventare cittadino attivo e responsabile.  Tale logica richiede il  riesame della finalità educativa orienta</w:t>
      </w:r>
      <w:r w:rsidR="00184764" w:rsidRPr="001A71C8">
        <w:rPr>
          <w:rFonts w:ascii="Verdana" w:hAnsi="Verdana"/>
          <w:sz w:val="20"/>
          <w:szCs w:val="20"/>
        </w:rPr>
        <w:t>ta verso un nuovo umanesimo  e questa, a sua volta, necessita</w:t>
      </w:r>
      <w:r w:rsidR="00785079" w:rsidRPr="001A71C8">
        <w:rPr>
          <w:rFonts w:ascii="Verdana" w:hAnsi="Verdana"/>
          <w:sz w:val="20"/>
          <w:szCs w:val="20"/>
        </w:rPr>
        <w:t xml:space="preserve"> di una revisione dei curricoli scolastici basata sulla riforma del pensiero. </w:t>
      </w:r>
    </w:p>
    <w:p w:rsidR="001A71C8" w:rsidRPr="001A71C8" w:rsidRDefault="001A71C8" w:rsidP="001A71C8">
      <w:pPr>
        <w:tabs>
          <w:tab w:val="left" w:pos="2745"/>
        </w:tabs>
        <w:spacing w:after="0" w:line="360" w:lineRule="auto"/>
        <w:jc w:val="both"/>
        <w:rPr>
          <w:rFonts w:ascii="Verdana" w:hAnsi="Verdana"/>
          <w:sz w:val="20"/>
          <w:szCs w:val="20"/>
        </w:rPr>
      </w:pPr>
    </w:p>
    <w:p w:rsidR="001A71C8" w:rsidRPr="001A71C8" w:rsidRDefault="001A71C8" w:rsidP="001A71C8">
      <w:pPr>
        <w:pStyle w:val="Puntoelenco"/>
        <w:numPr>
          <w:ilvl w:val="0"/>
          <w:numId w:val="0"/>
        </w:numPr>
        <w:spacing w:line="360" w:lineRule="auto"/>
        <w:rPr>
          <w:rFonts w:ascii="Verdana" w:hAnsi="Verdana"/>
          <w:b/>
          <w:sz w:val="20"/>
          <w:szCs w:val="20"/>
        </w:rPr>
      </w:pPr>
      <w:r w:rsidRPr="001A71C8">
        <w:rPr>
          <w:rFonts w:ascii="Verdana" w:hAnsi="Verdana"/>
          <w:b/>
          <w:sz w:val="20"/>
          <w:szCs w:val="20"/>
          <w:u w:val="single"/>
        </w:rPr>
        <w:t>Secondo Modulo</w:t>
      </w:r>
      <w:r w:rsidRPr="001A71C8">
        <w:rPr>
          <w:rFonts w:ascii="Verdana" w:hAnsi="Verdana"/>
          <w:b/>
          <w:sz w:val="20"/>
          <w:szCs w:val="20"/>
        </w:rPr>
        <w:t xml:space="preserve"> La cittadinanza mondiale : </w:t>
      </w:r>
      <w:proofErr w:type="spellStart"/>
      <w:r w:rsidRPr="001A71C8">
        <w:rPr>
          <w:rFonts w:ascii="Verdana" w:hAnsi="Verdana"/>
          <w:b/>
          <w:sz w:val="20"/>
          <w:szCs w:val="20"/>
        </w:rPr>
        <w:t>Ayd</w:t>
      </w:r>
      <w:proofErr w:type="spellEnd"/>
      <w:r w:rsidRPr="001A71C8">
        <w:rPr>
          <w:rFonts w:ascii="Verdana" w:hAnsi="Verdana"/>
          <w:b/>
          <w:sz w:val="20"/>
          <w:szCs w:val="20"/>
        </w:rPr>
        <w:t xml:space="preserve"> 2015 e Agenda post 2015.Necessità dell’ innovazione:le competenze di cittadinanza mondiale </w:t>
      </w:r>
    </w:p>
    <w:p w:rsidR="001A71C8" w:rsidRPr="001A71C8" w:rsidRDefault="001A71C8" w:rsidP="001A71C8">
      <w:pPr>
        <w:tabs>
          <w:tab w:val="left" w:pos="2745"/>
        </w:tabs>
        <w:spacing w:after="0" w:line="360" w:lineRule="auto"/>
        <w:jc w:val="both"/>
        <w:rPr>
          <w:rFonts w:ascii="Verdana" w:hAnsi="Verdana"/>
          <w:sz w:val="20"/>
          <w:szCs w:val="20"/>
        </w:rPr>
      </w:pPr>
    </w:p>
    <w:p w:rsidR="001A71C8" w:rsidRPr="001A71C8" w:rsidRDefault="001A71C8" w:rsidP="001A71C8">
      <w:pPr>
        <w:tabs>
          <w:tab w:val="left" w:pos="2745"/>
        </w:tabs>
        <w:spacing w:after="0" w:line="360" w:lineRule="auto"/>
        <w:jc w:val="both"/>
        <w:rPr>
          <w:rFonts w:ascii="Verdana" w:hAnsi="Verdana"/>
          <w:sz w:val="20"/>
          <w:szCs w:val="20"/>
        </w:rPr>
      </w:pPr>
      <w:r w:rsidRPr="001A71C8">
        <w:rPr>
          <w:rFonts w:ascii="Verdana" w:hAnsi="Verdana"/>
          <w:sz w:val="20"/>
          <w:szCs w:val="20"/>
        </w:rPr>
        <w:t xml:space="preserve">La logica delle rubriche è quella di fornire ai docenti  dispositivi e strumenti che permettano di “osservare” e “valutare” le prestazioni “in azione”. Le rubriche valutative si propongono come strumento di sintesi per una descrizione delle competenze e per la definizione di criteri e scale di livello della loro valutazione. Una rubrica si presenta quindi come una scala valutativa per i diversi aspetti di un compito o di una competenza. La scala seguita è stata quella proposta dal MIUR sulla base del Quadro europeo delle competenze </w:t>
      </w:r>
    </w:p>
    <w:p w:rsidR="001A71C8" w:rsidRPr="001A71C8" w:rsidRDefault="001A71C8" w:rsidP="001A71C8">
      <w:pPr>
        <w:tabs>
          <w:tab w:val="left" w:pos="2745"/>
        </w:tabs>
        <w:spacing w:after="0" w:line="360" w:lineRule="auto"/>
        <w:jc w:val="both"/>
        <w:rPr>
          <w:rFonts w:ascii="Verdana" w:hAnsi="Verdana"/>
          <w:sz w:val="20"/>
          <w:szCs w:val="20"/>
        </w:rPr>
      </w:pPr>
      <w:r w:rsidRPr="001A71C8">
        <w:rPr>
          <w:rFonts w:ascii="Verdana" w:hAnsi="Verdana"/>
          <w:sz w:val="20"/>
          <w:szCs w:val="20"/>
        </w:rPr>
        <w:lastRenderedPageBreak/>
        <w:t>A – Avanzato : L’alunno/a svolge compiti e risolve problemi complessi, mostrando padronanza nell’uso delle conoscenze e delle abilità;  propone e sostiene le proprie opinioni e assume in modo responsabile decisioni consapevoli.</w:t>
      </w:r>
    </w:p>
    <w:p w:rsidR="001A71C8" w:rsidRPr="001A71C8" w:rsidRDefault="001A71C8" w:rsidP="001A71C8">
      <w:pPr>
        <w:tabs>
          <w:tab w:val="left" w:pos="2745"/>
        </w:tabs>
        <w:spacing w:after="0" w:line="360" w:lineRule="auto"/>
        <w:jc w:val="both"/>
        <w:rPr>
          <w:rFonts w:ascii="Verdana" w:hAnsi="Verdana"/>
          <w:sz w:val="20"/>
          <w:szCs w:val="20"/>
        </w:rPr>
      </w:pPr>
      <w:r w:rsidRPr="001A71C8">
        <w:rPr>
          <w:rFonts w:ascii="Verdana" w:hAnsi="Verdana"/>
          <w:sz w:val="20"/>
          <w:szCs w:val="20"/>
        </w:rPr>
        <w:t>B – Intermedio: L’alunno/a svolge compiti e risolve problemi in situazioni nuove, compie scelte consapevoli, mostrando di saper utilizzare le conoscenze e le abilità acquisite.</w:t>
      </w:r>
    </w:p>
    <w:p w:rsidR="001A71C8" w:rsidRPr="001A71C8" w:rsidRDefault="001A71C8" w:rsidP="001A71C8">
      <w:pPr>
        <w:tabs>
          <w:tab w:val="left" w:pos="2745"/>
        </w:tabs>
        <w:spacing w:after="0" w:line="360" w:lineRule="auto"/>
        <w:jc w:val="both"/>
        <w:rPr>
          <w:rFonts w:ascii="Verdana" w:hAnsi="Verdana"/>
          <w:sz w:val="20"/>
          <w:szCs w:val="20"/>
        </w:rPr>
      </w:pPr>
      <w:r w:rsidRPr="001A71C8">
        <w:rPr>
          <w:rFonts w:ascii="Verdana" w:hAnsi="Verdana"/>
          <w:sz w:val="20"/>
          <w:szCs w:val="20"/>
        </w:rPr>
        <w:t>C – Base: L’alunno/a svolge compiti semplici anche in situazioni nuove, mostrando di possedere conoscenze e abilità fondamentali e di saper applicare basilari regole e procedure apprese.</w:t>
      </w:r>
    </w:p>
    <w:p w:rsidR="001A71C8" w:rsidRPr="001A71C8" w:rsidRDefault="001A71C8" w:rsidP="001A71C8">
      <w:pPr>
        <w:tabs>
          <w:tab w:val="left" w:pos="2745"/>
        </w:tabs>
        <w:spacing w:after="0" w:line="360" w:lineRule="auto"/>
        <w:jc w:val="both"/>
        <w:rPr>
          <w:rFonts w:ascii="Verdana" w:hAnsi="Verdana"/>
          <w:sz w:val="20"/>
          <w:szCs w:val="20"/>
        </w:rPr>
      </w:pPr>
      <w:r w:rsidRPr="001A71C8">
        <w:rPr>
          <w:rFonts w:ascii="Verdana" w:hAnsi="Verdana"/>
          <w:sz w:val="20"/>
          <w:szCs w:val="20"/>
        </w:rPr>
        <w:t>D – Iniziale: L’alunno/a, se opportunamente guidato/a, svolge compiti semplici in situazioni note.</w:t>
      </w:r>
    </w:p>
    <w:p w:rsidR="001A71C8" w:rsidRDefault="001A71C8" w:rsidP="001A71C8">
      <w:pPr>
        <w:tabs>
          <w:tab w:val="left" w:pos="2745"/>
        </w:tabs>
        <w:spacing w:after="0" w:line="360" w:lineRule="auto"/>
        <w:jc w:val="both"/>
        <w:rPr>
          <w:rFonts w:ascii="Verdana" w:hAnsi="Verdana"/>
          <w:sz w:val="20"/>
          <w:szCs w:val="20"/>
        </w:rPr>
      </w:pPr>
      <w:r w:rsidRPr="001A71C8">
        <w:rPr>
          <w:rFonts w:ascii="Verdana" w:hAnsi="Verdana"/>
          <w:sz w:val="20"/>
          <w:szCs w:val="20"/>
        </w:rPr>
        <w:t xml:space="preserve">Nel presente Corso la Formatrice ha fornito ai docenti una sorta di “canovaccio” delle rubriche che sono state discusse, corrette ed integrate dai docenti divisi in gruppi di lavoro per ordine di scuola e disciplina di riferimento. </w:t>
      </w:r>
    </w:p>
    <w:p w:rsidR="001A71C8" w:rsidRDefault="001A71C8" w:rsidP="001A71C8">
      <w:pPr>
        <w:tabs>
          <w:tab w:val="left" w:pos="2745"/>
        </w:tabs>
        <w:spacing w:after="0" w:line="360" w:lineRule="auto"/>
        <w:jc w:val="both"/>
        <w:rPr>
          <w:rFonts w:ascii="Verdana" w:hAnsi="Verdana"/>
          <w:sz w:val="20"/>
          <w:szCs w:val="20"/>
        </w:rPr>
      </w:pPr>
      <w:r>
        <w:rPr>
          <w:rFonts w:ascii="Verdana" w:hAnsi="Verdana"/>
          <w:sz w:val="20"/>
          <w:szCs w:val="20"/>
        </w:rPr>
        <w:t xml:space="preserve">Al centro  del secondo  modulo </w:t>
      </w:r>
      <w:r w:rsidRPr="001A71C8">
        <w:rPr>
          <w:rFonts w:ascii="Verdana" w:hAnsi="Verdana"/>
          <w:sz w:val="20"/>
          <w:szCs w:val="20"/>
        </w:rPr>
        <w:t>del Modulo è stat</w:t>
      </w:r>
      <w:r>
        <w:rPr>
          <w:rFonts w:ascii="Verdana" w:hAnsi="Verdana"/>
          <w:sz w:val="20"/>
          <w:szCs w:val="20"/>
        </w:rPr>
        <w:t>a</w:t>
      </w:r>
      <w:r w:rsidRPr="001A71C8">
        <w:rPr>
          <w:rFonts w:ascii="Verdana" w:hAnsi="Verdana"/>
          <w:sz w:val="20"/>
          <w:szCs w:val="20"/>
        </w:rPr>
        <w:t xml:space="preserve"> una riflessione sull’organizzazione della scuola in base alla finalità della costruzione di una nuova cittadinanza. Lo strumento di analisi </w:t>
      </w:r>
      <w:r w:rsidRPr="006C5A78">
        <w:rPr>
          <w:rFonts w:ascii="Verdana" w:hAnsi="Verdana"/>
          <w:sz w:val="20"/>
          <w:szCs w:val="20"/>
        </w:rPr>
        <w:t>è stato quello della Mappa di Kerr che considera la scuola come un sistema interrelato, per cui</w:t>
      </w:r>
      <w:r w:rsidRPr="001A71C8">
        <w:rPr>
          <w:rFonts w:ascii="Verdana" w:hAnsi="Verdana"/>
          <w:sz w:val="20"/>
          <w:szCs w:val="20"/>
        </w:rPr>
        <w:t xml:space="preserve"> le finalità vanno collegate all’area dei saperi e delle discipline, che a loro volta sono sostenute dall’organizzazione scolastica ( metodo/ spazi/ tempi/ strumenti/ media ..) per poi rapportarsi all’area della valutazione direttamente collegata a quella delle finalità. Successivamente i docenti hanno lavorato in modo laboratoriale per definire le competenze di cittadinanza mondiale utilizzando come fonti di  riferimento Linee Guida per l’Educazione Interculturale – Consiglio d’Europa</w:t>
      </w:r>
      <w:r>
        <w:rPr>
          <w:rFonts w:ascii="Verdana" w:hAnsi="Verdana"/>
          <w:sz w:val="20"/>
          <w:szCs w:val="20"/>
        </w:rPr>
        <w:t xml:space="preserve"> ( Lisbona 2012) </w:t>
      </w:r>
      <w:r w:rsidRPr="001A71C8">
        <w:rPr>
          <w:rFonts w:ascii="Verdana" w:hAnsi="Verdana"/>
          <w:sz w:val="20"/>
          <w:szCs w:val="20"/>
        </w:rPr>
        <w:t xml:space="preserve"> e il Documento dell’Educazione alla Cittadinanza Mondiale dell’Unesco (maggio 2015) </w:t>
      </w:r>
    </w:p>
    <w:p w:rsidR="001A71C8" w:rsidRPr="001A71C8" w:rsidRDefault="001A71C8" w:rsidP="001A71C8">
      <w:pPr>
        <w:tabs>
          <w:tab w:val="left" w:pos="2745"/>
        </w:tabs>
        <w:spacing w:after="0" w:line="360" w:lineRule="auto"/>
        <w:jc w:val="both"/>
        <w:rPr>
          <w:rFonts w:ascii="Verdana" w:hAnsi="Verdana"/>
          <w:sz w:val="20"/>
          <w:szCs w:val="20"/>
        </w:rPr>
      </w:pPr>
    </w:p>
    <w:p w:rsidR="00326FCE" w:rsidRPr="001A71C8" w:rsidRDefault="001A71C8" w:rsidP="001A71C8">
      <w:pPr>
        <w:tabs>
          <w:tab w:val="left" w:pos="2745"/>
        </w:tabs>
        <w:spacing w:after="0" w:line="360" w:lineRule="auto"/>
        <w:jc w:val="both"/>
        <w:rPr>
          <w:rFonts w:ascii="Verdana" w:hAnsi="Verdana"/>
          <w:b/>
          <w:sz w:val="20"/>
          <w:szCs w:val="20"/>
        </w:rPr>
      </w:pPr>
      <w:r w:rsidRPr="001A71C8">
        <w:rPr>
          <w:rFonts w:ascii="Verdana" w:eastAsia="Times New Roman" w:hAnsi="Verdana" w:cs="Times New Roman"/>
          <w:b/>
          <w:sz w:val="20"/>
          <w:szCs w:val="20"/>
          <w:u w:val="single"/>
        </w:rPr>
        <w:t>Terzo</w:t>
      </w:r>
      <w:r w:rsidR="00326FCE" w:rsidRPr="001A71C8">
        <w:rPr>
          <w:rFonts w:ascii="Verdana" w:eastAsia="Times New Roman" w:hAnsi="Verdana" w:cs="Times New Roman"/>
          <w:b/>
          <w:sz w:val="20"/>
          <w:szCs w:val="20"/>
          <w:u w:val="single"/>
        </w:rPr>
        <w:t xml:space="preserve"> modulo</w:t>
      </w:r>
      <w:r w:rsidR="00326FCE" w:rsidRPr="001A71C8">
        <w:rPr>
          <w:rFonts w:ascii="Verdana" w:eastAsia="Times New Roman" w:hAnsi="Verdana" w:cs="Times New Roman"/>
          <w:b/>
          <w:sz w:val="20"/>
          <w:szCs w:val="20"/>
        </w:rPr>
        <w:t>:</w:t>
      </w:r>
      <w:r w:rsidR="00326FCE" w:rsidRPr="001A71C8">
        <w:rPr>
          <w:rFonts w:ascii="Verdana" w:hAnsi="Verdana"/>
          <w:b/>
          <w:sz w:val="20"/>
          <w:szCs w:val="20"/>
        </w:rPr>
        <w:t xml:space="preserve"> Le competenze disciplinari per ogni ordine di scuola ( infanzia/ primaria/ secondaria di primo grado</w:t>
      </w:r>
      <w:r w:rsidR="00184764" w:rsidRPr="001A71C8">
        <w:rPr>
          <w:rFonts w:ascii="Verdana" w:hAnsi="Verdana"/>
          <w:b/>
          <w:sz w:val="20"/>
          <w:szCs w:val="20"/>
        </w:rPr>
        <w:t>/ secondaria di secondo grado</w:t>
      </w:r>
      <w:r w:rsidR="00326FCE" w:rsidRPr="001A71C8">
        <w:rPr>
          <w:rFonts w:ascii="Verdana" w:hAnsi="Verdana"/>
          <w:b/>
          <w:sz w:val="20"/>
          <w:szCs w:val="20"/>
        </w:rPr>
        <w:t>)</w:t>
      </w:r>
      <w:r w:rsidR="00785079" w:rsidRPr="001A71C8">
        <w:rPr>
          <w:rFonts w:ascii="Verdana" w:hAnsi="Verdana"/>
          <w:b/>
          <w:sz w:val="20"/>
          <w:szCs w:val="20"/>
        </w:rPr>
        <w:t xml:space="preserve"> </w:t>
      </w:r>
    </w:p>
    <w:p w:rsidR="00184764" w:rsidRDefault="00EB23A1" w:rsidP="001A71C8">
      <w:pPr>
        <w:tabs>
          <w:tab w:val="left" w:pos="2745"/>
        </w:tabs>
        <w:spacing w:after="0" w:line="360" w:lineRule="auto"/>
        <w:jc w:val="both"/>
        <w:rPr>
          <w:rFonts w:ascii="Verdana" w:hAnsi="Verdana"/>
          <w:sz w:val="20"/>
          <w:szCs w:val="20"/>
        </w:rPr>
      </w:pPr>
      <w:r w:rsidRPr="001A71C8">
        <w:rPr>
          <w:rFonts w:ascii="Verdana" w:hAnsi="Verdana"/>
          <w:sz w:val="20"/>
          <w:szCs w:val="20"/>
        </w:rPr>
        <w:t>La fonte di riferimento fornita ai corsisti è stata quella del MIUR relativa alle “Indicazioni Nazionali” per l’infanzia, la scuola primaria e secondaria di primo grado</w:t>
      </w:r>
      <w:r w:rsidR="006C5A78">
        <w:rPr>
          <w:rFonts w:ascii="Verdana" w:hAnsi="Verdana"/>
          <w:sz w:val="20"/>
          <w:szCs w:val="20"/>
        </w:rPr>
        <w:t xml:space="preserve">. </w:t>
      </w:r>
      <w:r w:rsidRPr="001A71C8">
        <w:rPr>
          <w:rFonts w:ascii="Verdana" w:hAnsi="Verdana"/>
          <w:sz w:val="20"/>
          <w:szCs w:val="20"/>
        </w:rPr>
        <w:t xml:space="preserve">A sostegno della discussione è stato fornito ai docenti </w:t>
      </w:r>
      <w:r w:rsidRPr="006C5A78">
        <w:rPr>
          <w:rFonts w:ascii="Verdana" w:hAnsi="Verdana"/>
          <w:sz w:val="20"/>
          <w:szCs w:val="20"/>
        </w:rPr>
        <w:t xml:space="preserve">una scheda di analisi </w:t>
      </w:r>
      <w:r w:rsidR="006C5A78" w:rsidRPr="006C5A78">
        <w:rPr>
          <w:rFonts w:ascii="Verdana" w:hAnsi="Verdana"/>
          <w:sz w:val="20"/>
          <w:szCs w:val="20"/>
        </w:rPr>
        <w:t xml:space="preserve">con cui verificare la trasparenza e l’efficacia delle rubriche proposte. </w:t>
      </w:r>
    </w:p>
    <w:p w:rsidR="006C5A78" w:rsidRPr="001A71C8" w:rsidRDefault="006C5A78" w:rsidP="001A71C8">
      <w:pPr>
        <w:tabs>
          <w:tab w:val="left" w:pos="2745"/>
        </w:tabs>
        <w:spacing w:after="0" w:line="360" w:lineRule="auto"/>
        <w:jc w:val="both"/>
        <w:rPr>
          <w:rFonts w:ascii="Verdana" w:hAnsi="Verdana"/>
          <w:sz w:val="20"/>
          <w:szCs w:val="20"/>
        </w:rPr>
      </w:pPr>
    </w:p>
    <w:p w:rsidR="004332D6" w:rsidRPr="001A71C8" w:rsidRDefault="004332D6" w:rsidP="001A71C8">
      <w:pPr>
        <w:pStyle w:val="Puntoelenco"/>
        <w:numPr>
          <w:ilvl w:val="0"/>
          <w:numId w:val="0"/>
        </w:numPr>
        <w:spacing w:line="360" w:lineRule="auto"/>
        <w:rPr>
          <w:rFonts w:ascii="Verdana" w:hAnsi="Verdana"/>
          <w:b/>
          <w:sz w:val="20"/>
          <w:szCs w:val="20"/>
        </w:rPr>
      </w:pPr>
      <w:r w:rsidRPr="001A71C8">
        <w:rPr>
          <w:rFonts w:ascii="Verdana" w:hAnsi="Verdana"/>
          <w:b/>
          <w:sz w:val="20"/>
          <w:szCs w:val="20"/>
          <w:u w:val="single"/>
        </w:rPr>
        <w:t>Quarto Modulo</w:t>
      </w:r>
      <w:r w:rsidRPr="001A71C8">
        <w:rPr>
          <w:rFonts w:ascii="Verdana" w:hAnsi="Verdana"/>
          <w:b/>
          <w:sz w:val="20"/>
          <w:szCs w:val="20"/>
        </w:rPr>
        <w:t xml:space="preserve">: Le competenze trasversali </w:t>
      </w:r>
    </w:p>
    <w:p w:rsidR="00326FCE" w:rsidRPr="001A71C8" w:rsidRDefault="004332D6" w:rsidP="001A71C8">
      <w:pPr>
        <w:tabs>
          <w:tab w:val="left" w:pos="2745"/>
        </w:tabs>
        <w:spacing w:after="0" w:line="360" w:lineRule="auto"/>
        <w:jc w:val="both"/>
        <w:rPr>
          <w:rFonts w:ascii="Verdana" w:hAnsi="Verdana"/>
          <w:b/>
          <w:sz w:val="20"/>
          <w:szCs w:val="20"/>
          <w:u w:val="single"/>
        </w:rPr>
      </w:pPr>
      <w:r w:rsidRPr="001A71C8">
        <w:rPr>
          <w:rFonts w:ascii="Verdana" w:hAnsi="Verdana"/>
          <w:sz w:val="20"/>
          <w:szCs w:val="20"/>
        </w:rPr>
        <w:t>Ad introduzione del modulo si  sono illustrate le convergenze tra le competenze  CHIAVE UNIONE EUROPE (Gazzetta ufficiale dell’Unione europea del 30.12.2006, L. 394/10-18) e TRASVERSALI DEGLI ASSI CULTURALI (DM 9</w:t>
      </w:r>
      <w:r w:rsidR="006C5A78">
        <w:rPr>
          <w:rFonts w:ascii="Verdana" w:hAnsi="Verdana"/>
          <w:sz w:val="20"/>
          <w:szCs w:val="20"/>
        </w:rPr>
        <w:t>,</w:t>
      </w:r>
      <w:r w:rsidRPr="001A71C8">
        <w:rPr>
          <w:rFonts w:ascii="Verdana" w:hAnsi="Verdana"/>
          <w:sz w:val="20"/>
          <w:szCs w:val="20"/>
        </w:rPr>
        <w:t xml:space="preserve"> 27 gennaio 2010) sintetizzando le sedici competenze in dodici per evitare ridondanze.</w:t>
      </w:r>
    </w:p>
    <w:p w:rsidR="004332D6" w:rsidRPr="001A71C8" w:rsidRDefault="004332D6" w:rsidP="001A71C8">
      <w:pPr>
        <w:tabs>
          <w:tab w:val="left" w:pos="2745"/>
        </w:tabs>
        <w:spacing w:after="0" w:line="360" w:lineRule="auto"/>
        <w:jc w:val="both"/>
        <w:rPr>
          <w:rFonts w:ascii="Verdana" w:hAnsi="Verdana"/>
          <w:b/>
          <w:sz w:val="20"/>
          <w:szCs w:val="20"/>
          <w:u w:val="single"/>
        </w:rPr>
      </w:pPr>
    </w:p>
    <w:p w:rsidR="004332D6" w:rsidRPr="001A71C8" w:rsidRDefault="004332D6" w:rsidP="001A71C8">
      <w:pPr>
        <w:tabs>
          <w:tab w:val="left" w:pos="2745"/>
        </w:tabs>
        <w:spacing w:after="0" w:line="360" w:lineRule="auto"/>
        <w:jc w:val="both"/>
        <w:rPr>
          <w:rFonts w:ascii="Verdana" w:hAnsi="Verdana"/>
          <w:b/>
          <w:sz w:val="20"/>
          <w:szCs w:val="20"/>
          <w:u w:val="single"/>
        </w:rPr>
      </w:pPr>
    </w:p>
    <w:p w:rsidR="007941A1" w:rsidRPr="006C5A78" w:rsidRDefault="004332D6" w:rsidP="001A71C8">
      <w:pPr>
        <w:tabs>
          <w:tab w:val="left" w:pos="2745"/>
        </w:tabs>
        <w:spacing w:after="0" w:line="360" w:lineRule="auto"/>
        <w:jc w:val="both"/>
        <w:rPr>
          <w:rFonts w:ascii="Verdana" w:hAnsi="Verdana"/>
          <w:sz w:val="20"/>
          <w:szCs w:val="20"/>
        </w:rPr>
      </w:pPr>
      <w:r w:rsidRPr="001A71C8">
        <w:rPr>
          <w:rFonts w:ascii="Verdana" w:hAnsi="Verdana"/>
          <w:sz w:val="20"/>
          <w:szCs w:val="20"/>
        </w:rPr>
        <w:lastRenderedPageBreak/>
        <w:t xml:space="preserve">Di seguito i docenti in laboratorio hanno focalizzato l’attenzione sulle 12 competenze trasversali integrando, correggendo, ampliando il  canovaccio fornito dalla Formatrice. </w:t>
      </w:r>
      <w:r w:rsidR="006C5A78" w:rsidRPr="006C5A78">
        <w:rPr>
          <w:rFonts w:ascii="Verdana" w:hAnsi="Verdana"/>
          <w:sz w:val="20"/>
          <w:szCs w:val="20"/>
        </w:rPr>
        <w:t xml:space="preserve">Anche in questo caso si è </w:t>
      </w:r>
      <w:r w:rsidR="00964BCF" w:rsidRPr="006C5A78">
        <w:rPr>
          <w:rFonts w:ascii="Verdana" w:hAnsi="Verdana"/>
          <w:sz w:val="20"/>
          <w:szCs w:val="20"/>
        </w:rPr>
        <w:t xml:space="preserve"> utilizza</w:t>
      </w:r>
      <w:r w:rsidR="006C5A78" w:rsidRPr="006C5A78">
        <w:rPr>
          <w:rFonts w:ascii="Verdana" w:hAnsi="Verdana"/>
          <w:sz w:val="20"/>
          <w:szCs w:val="20"/>
        </w:rPr>
        <w:t xml:space="preserve">ta </w:t>
      </w:r>
      <w:r w:rsidR="00964BCF" w:rsidRPr="006C5A78">
        <w:rPr>
          <w:rFonts w:ascii="Verdana" w:hAnsi="Verdana"/>
          <w:sz w:val="20"/>
          <w:szCs w:val="20"/>
        </w:rPr>
        <w:t xml:space="preserve"> una scheda di analisi </w:t>
      </w:r>
      <w:r w:rsidR="006C5A78" w:rsidRPr="006C5A78">
        <w:rPr>
          <w:rFonts w:ascii="Verdana" w:hAnsi="Verdana"/>
          <w:sz w:val="20"/>
          <w:szCs w:val="20"/>
        </w:rPr>
        <w:t xml:space="preserve">con cui verificare la trasparenza e l’efficacia delle rubriche proposte. </w:t>
      </w:r>
    </w:p>
    <w:p w:rsidR="007941A1" w:rsidRDefault="007941A1" w:rsidP="001A71C8">
      <w:pPr>
        <w:tabs>
          <w:tab w:val="left" w:pos="2745"/>
        </w:tabs>
        <w:spacing w:after="0" w:line="360" w:lineRule="auto"/>
        <w:jc w:val="both"/>
        <w:rPr>
          <w:rFonts w:ascii="Verdana" w:hAnsi="Verdana"/>
          <w:b/>
          <w:sz w:val="20"/>
          <w:szCs w:val="20"/>
          <w:u w:val="single"/>
        </w:rPr>
      </w:pPr>
      <w:r w:rsidRPr="001A71C8">
        <w:rPr>
          <w:rFonts w:ascii="Verdana" w:hAnsi="Verdana"/>
          <w:b/>
          <w:sz w:val="20"/>
          <w:szCs w:val="20"/>
          <w:u w:val="single"/>
        </w:rPr>
        <w:t xml:space="preserve">Quinto Modulo: </w:t>
      </w:r>
      <w:r w:rsidRPr="001A71C8">
        <w:rPr>
          <w:rFonts w:ascii="Verdana" w:hAnsi="Verdana"/>
          <w:b/>
          <w:sz w:val="20"/>
          <w:szCs w:val="20"/>
        </w:rPr>
        <w:t>La valutazione per rubriche e quella  per osservazione ed indizi</w:t>
      </w:r>
      <w:r w:rsidRPr="001A71C8">
        <w:rPr>
          <w:rFonts w:ascii="Verdana" w:hAnsi="Verdana"/>
          <w:b/>
          <w:sz w:val="20"/>
          <w:szCs w:val="20"/>
          <w:u w:val="single"/>
        </w:rPr>
        <w:t xml:space="preserve"> </w:t>
      </w:r>
    </w:p>
    <w:p w:rsidR="006C5A78" w:rsidRDefault="006C5A78" w:rsidP="001A71C8">
      <w:pPr>
        <w:tabs>
          <w:tab w:val="left" w:pos="2745"/>
        </w:tabs>
        <w:spacing w:after="0" w:line="360" w:lineRule="auto"/>
        <w:jc w:val="both"/>
        <w:rPr>
          <w:rFonts w:ascii="Verdana" w:hAnsi="Verdana"/>
          <w:sz w:val="20"/>
          <w:szCs w:val="20"/>
        </w:rPr>
      </w:pPr>
      <w:r w:rsidRPr="006C5A78">
        <w:rPr>
          <w:rFonts w:ascii="Verdana" w:hAnsi="Verdana"/>
          <w:sz w:val="20"/>
          <w:szCs w:val="20"/>
        </w:rPr>
        <w:t xml:space="preserve"> Per integrare la proposta della valutazione </w:t>
      </w:r>
      <w:r>
        <w:rPr>
          <w:rFonts w:ascii="Verdana" w:hAnsi="Verdana"/>
          <w:sz w:val="20"/>
          <w:szCs w:val="20"/>
        </w:rPr>
        <w:t>attraverso rubriche si è attivata una ricerca con i docenti per poter usufruire di altri strumenti valutativi di tipo “indiziario” e “qualitativo.</w:t>
      </w:r>
    </w:p>
    <w:p w:rsidR="006C5A78" w:rsidRPr="00CF1741" w:rsidRDefault="006C5A78" w:rsidP="00CF1741">
      <w:pPr>
        <w:tabs>
          <w:tab w:val="left" w:pos="2745"/>
        </w:tabs>
        <w:spacing w:after="0" w:line="360" w:lineRule="auto"/>
        <w:jc w:val="both"/>
        <w:rPr>
          <w:rFonts w:ascii="Verdana" w:hAnsi="Verdana"/>
          <w:sz w:val="20"/>
          <w:szCs w:val="20"/>
        </w:rPr>
      </w:pPr>
      <w:r w:rsidRPr="00CF1741">
        <w:rPr>
          <w:rFonts w:ascii="Verdana" w:hAnsi="Verdana"/>
          <w:sz w:val="20"/>
          <w:szCs w:val="20"/>
        </w:rPr>
        <w:t>I gruppi di lavoro hanno privilegiato le seguenti modalità:</w:t>
      </w:r>
    </w:p>
    <w:p w:rsidR="006C5A78" w:rsidRPr="00CF1741" w:rsidRDefault="006C5A78" w:rsidP="00CF1741">
      <w:pPr>
        <w:pStyle w:val="Paragrafoelenco"/>
        <w:numPr>
          <w:ilvl w:val="0"/>
          <w:numId w:val="3"/>
        </w:numPr>
        <w:tabs>
          <w:tab w:val="left" w:pos="2745"/>
        </w:tabs>
        <w:spacing w:after="0" w:line="360" w:lineRule="auto"/>
        <w:jc w:val="both"/>
        <w:rPr>
          <w:rFonts w:ascii="Verdana" w:hAnsi="Verdana"/>
          <w:sz w:val="20"/>
          <w:szCs w:val="20"/>
        </w:rPr>
      </w:pPr>
      <w:r w:rsidRPr="00CF1741">
        <w:rPr>
          <w:rFonts w:ascii="Verdana" w:hAnsi="Verdana"/>
          <w:sz w:val="20"/>
          <w:szCs w:val="20"/>
        </w:rPr>
        <w:t>Diario di Bordo</w:t>
      </w:r>
    </w:p>
    <w:p w:rsidR="006C5A78" w:rsidRPr="00CF1741" w:rsidRDefault="006C5A78" w:rsidP="00CF1741">
      <w:pPr>
        <w:pStyle w:val="Paragrafoelenco"/>
        <w:numPr>
          <w:ilvl w:val="0"/>
          <w:numId w:val="3"/>
        </w:numPr>
        <w:tabs>
          <w:tab w:val="left" w:pos="2745"/>
        </w:tabs>
        <w:spacing w:after="0" w:line="360" w:lineRule="auto"/>
        <w:jc w:val="both"/>
        <w:rPr>
          <w:rFonts w:ascii="Verdana" w:hAnsi="Verdana"/>
          <w:sz w:val="20"/>
          <w:szCs w:val="20"/>
        </w:rPr>
      </w:pPr>
      <w:r w:rsidRPr="00CF1741">
        <w:rPr>
          <w:rFonts w:ascii="Verdana" w:hAnsi="Verdana"/>
          <w:sz w:val="20"/>
          <w:szCs w:val="20"/>
        </w:rPr>
        <w:t>Cronaca diretta di una lezione</w:t>
      </w:r>
    </w:p>
    <w:p w:rsidR="006C5A78" w:rsidRPr="00CF1741" w:rsidRDefault="006C5A78" w:rsidP="00CF1741">
      <w:pPr>
        <w:pStyle w:val="Paragrafoelenco"/>
        <w:numPr>
          <w:ilvl w:val="0"/>
          <w:numId w:val="3"/>
        </w:numPr>
        <w:tabs>
          <w:tab w:val="left" w:pos="2745"/>
        </w:tabs>
        <w:spacing w:after="0" w:line="360" w:lineRule="auto"/>
        <w:jc w:val="both"/>
        <w:rPr>
          <w:rFonts w:ascii="Verdana" w:hAnsi="Verdana"/>
          <w:sz w:val="20"/>
          <w:szCs w:val="20"/>
        </w:rPr>
      </w:pPr>
      <w:r w:rsidRPr="00CF1741">
        <w:rPr>
          <w:rFonts w:ascii="Verdana" w:hAnsi="Verdana"/>
          <w:sz w:val="20"/>
          <w:szCs w:val="20"/>
        </w:rPr>
        <w:t>Registrazione di un breve e significativo episodio scolastico</w:t>
      </w:r>
    </w:p>
    <w:p w:rsidR="006C5A78" w:rsidRPr="00CF1741" w:rsidRDefault="00CF1741" w:rsidP="00CF1741">
      <w:pPr>
        <w:pStyle w:val="Paragrafoelenco"/>
        <w:numPr>
          <w:ilvl w:val="0"/>
          <w:numId w:val="3"/>
        </w:numPr>
        <w:tabs>
          <w:tab w:val="left" w:pos="2745"/>
        </w:tabs>
        <w:spacing w:after="0" w:line="360" w:lineRule="auto"/>
        <w:jc w:val="both"/>
        <w:rPr>
          <w:rFonts w:ascii="Verdana" w:hAnsi="Verdana"/>
          <w:sz w:val="20"/>
          <w:szCs w:val="20"/>
        </w:rPr>
      </w:pPr>
      <w:r w:rsidRPr="00CF1741">
        <w:rPr>
          <w:rFonts w:ascii="Verdana" w:hAnsi="Verdana"/>
          <w:sz w:val="20"/>
          <w:szCs w:val="20"/>
        </w:rPr>
        <w:t>Valutazione incrociata docenti allievi</w:t>
      </w:r>
    </w:p>
    <w:p w:rsidR="00CF1741" w:rsidRPr="00CF1741" w:rsidRDefault="00CF1741" w:rsidP="00CF1741">
      <w:pPr>
        <w:pStyle w:val="Paragrafoelenco"/>
        <w:numPr>
          <w:ilvl w:val="0"/>
          <w:numId w:val="3"/>
        </w:numPr>
        <w:tabs>
          <w:tab w:val="left" w:pos="2745"/>
        </w:tabs>
        <w:spacing w:after="0" w:line="360" w:lineRule="auto"/>
        <w:jc w:val="both"/>
        <w:rPr>
          <w:rFonts w:ascii="Verdana" w:hAnsi="Verdana"/>
          <w:sz w:val="20"/>
          <w:szCs w:val="20"/>
        </w:rPr>
      </w:pPr>
      <w:r w:rsidRPr="00CF1741">
        <w:rPr>
          <w:rFonts w:ascii="Verdana" w:hAnsi="Verdana"/>
          <w:sz w:val="20"/>
          <w:szCs w:val="20"/>
        </w:rPr>
        <w:t>Autovalutazione dell’allievo</w:t>
      </w:r>
    </w:p>
    <w:p w:rsidR="00CF1741" w:rsidRPr="00CF1741" w:rsidRDefault="00CF1741" w:rsidP="00CF1741">
      <w:pPr>
        <w:pStyle w:val="Paragrafoelenco"/>
        <w:numPr>
          <w:ilvl w:val="0"/>
          <w:numId w:val="3"/>
        </w:numPr>
        <w:tabs>
          <w:tab w:val="left" w:pos="2745"/>
        </w:tabs>
        <w:spacing w:after="0" w:line="360" w:lineRule="auto"/>
        <w:jc w:val="both"/>
        <w:rPr>
          <w:rFonts w:ascii="Verdana" w:hAnsi="Verdana"/>
          <w:sz w:val="20"/>
          <w:szCs w:val="20"/>
        </w:rPr>
      </w:pPr>
      <w:r w:rsidRPr="00CF1741">
        <w:rPr>
          <w:rFonts w:ascii="Verdana" w:hAnsi="Verdana"/>
          <w:sz w:val="20"/>
          <w:szCs w:val="20"/>
        </w:rPr>
        <w:t xml:space="preserve">Valutazione genitori </w:t>
      </w:r>
    </w:p>
    <w:p w:rsidR="006C5A78" w:rsidRPr="006C5A78" w:rsidRDefault="00CF1741" w:rsidP="001A71C8">
      <w:pPr>
        <w:tabs>
          <w:tab w:val="left" w:pos="2745"/>
        </w:tabs>
        <w:spacing w:after="0" w:line="360" w:lineRule="auto"/>
        <w:jc w:val="both"/>
        <w:rPr>
          <w:rFonts w:ascii="Verdana" w:hAnsi="Verdana"/>
          <w:sz w:val="20"/>
          <w:szCs w:val="20"/>
        </w:rPr>
      </w:pPr>
      <w:r>
        <w:rPr>
          <w:rFonts w:ascii="Verdana" w:hAnsi="Verdana"/>
          <w:sz w:val="20"/>
          <w:szCs w:val="20"/>
        </w:rPr>
        <w:t xml:space="preserve">Il presente modulo è stato arricchito da una riflessione sulla possibilità di innestare la didattica per competenze su un modello di stampo costruttivista integrato da quello esperienziale </w:t>
      </w:r>
      <w:r w:rsidRPr="00CF1741">
        <w:rPr>
          <w:rFonts w:ascii="Verdana" w:hAnsi="Verdana"/>
          <w:sz w:val="20"/>
          <w:szCs w:val="20"/>
        </w:rPr>
        <w:t>di Pfeiffer e Jones</w:t>
      </w:r>
      <w:r>
        <w:rPr>
          <w:rFonts w:ascii="Verdana" w:hAnsi="Verdana"/>
          <w:sz w:val="20"/>
          <w:szCs w:val="20"/>
        </w:rPr>
        <w:t xml:space="preserve"> e della service </w:t>
      </w:r>
      <w:proofErr w:type="spellStart"/>
      <w:r>
        <w:rPr>
          <w:rFonts w:ascii="Verdana" w:hAnsi="Verdana"/>
          <w:sz w:val="20"/>
          <w:szCs w:val="20"/>
        </w:rPr>
        <w:t>learning</w:t>
      </w:r>
      <w:proofErr w:type="spellEnd"/>
      <w:r>
        <w:rPr>
          <w:rFonts w:ascii="Verdana" w:hAnsi="Verdana"/>
          <w:sz w:val="20"/>
          <w:szCs w:val="20"/>
        </w:rPr>
        <w:t xml:space="preserve"> dell’Università Lumsa. </w:t>
      </w:r>
    </w:p>
    <w:p w:rsidR="006C5A78" w:rsidRPr="001A71C8" w:rsidRDefault="006C5A78" w:rsidP="001A71C8">
      <w:pPr>
        <w:tabs>
          <w:tab w:val="left" w:pos="2745"/>
        </w:tabs>
        <w:spacing w:after="0" w:line="360" w:lineRule="auto"/>
        <w:jc w:val="both"/>
        <w:rPr>
          <w:rFonts w:ascii="Verdana" w:hAnsi="Verdana"/>
          <w:b/>
          <w:sz w:val="20"/>
          <w:szCs w:val="20"/>
          <w:u w:val="single"/>
        </w:rPr>
      </w:pPr>
    </w:p>
    <w:p w:rsidR="007941A1" w:rsidRDefault="007941A1" w:rsidP="001A71C8">
      <w:pPr>
        <w:tabs>
          <w:tab w:val="left" w:pos="2745"/>
        </w:tabs>
        <w:spacing w:after="0" w:line="360" w:lineRule="auto"/>
        <w:jc w:val="both"/>
        <w:rPr>
          <w:rFonts w:ascii="Verdana" w:hAnsi="Verdana"/>
          <w:b/>
          <w:sz w:val="20"/>
          <w:szCs w:val="20"/>
        </w:rPr>
      </w:pPr>
      <w:r w:rsidRPr="001A71C8">
        <w:rPr>
          <w:rFonts w:ascii="Verdana" w:hAnsi="Verdana"/>
          <w:b/>
          <w:sz w:val="20"/>
          <w:szCs w:val="20"/>
          <w:u w:val="single"/>
        </w:rPr>
        <w:t xml:space="preserve">Sesto Modulo: </w:t>
      </w:r>
      <w:r w:rsidRPr="001A71C8">
        <w:rPr>
          <w:rFonts w:ascii="Verdana" w:hAnsi="Verdana"/>
          <w:b/>
          <w:sz w:val="20"/>
          <w:szCs w:val="20"/>
        </w:rPr>
        <w:t xml:space="preserve">la corrispondenza tra la valutazione per rubriche e </w:t>
      </w:r>
      <w:r w:rsidR="001A71C8" w:rsidRPr="001A71C8">
        <w:rPr>
          <w:rFonts w:ascii="Verdana" w:hAnsi="Verdana"/>
          <w:b/>
          <w:sz w:val="20"/>
          <w:szCs w:val="20"/>
        </w:rPr>
        <w:t xml:space="preserve">la  scheda per la certificazione delle competenze  sia al termine del primo ciclo di istruzione sia  al temine della scuola secondaria di primo grado elaborata dal MIUR </w:t>
      </w:r>
    </w:p>
    <w:p w:rsidR="00CF1741" w:rsidRDefault="00CF1741" w:rsidP="001A71C8">
      <w:pPr>
        <w:tabs>
          <w:tab w:val="left" w:pos="2745"/>
        </w:tabs>
        <w:spacing w:after="0" w:line="360" w:lineRule="auto"/>
        <w:jc w:val="both"/>
        <w:rPr>
          <w:rFonts w:ascii="Verdana" w:hAnsi="Verdana"/>
          <w:sz w:val="20"/>
          <w:szCs w:val="20"/>
        </w:rPr>
      </w:pPr>
      <w:r>
        <w:rPr>
          <w:rFonts w:ascii="Verdana" w:hAnsi="Verdana"/>
          <w:b/>
          <w:sz w:val="20"/>
          <w:szCs w:val="20"/>
        </w:rPr>
        <w:t xml:space="preserve"> </w:t>
      </w:r>
      <w:r w:rsidRPr="00CF1741">
        <w:rPr>
          <w:rFonts w:ascii="Verdana" w:hAnsi="Verdana"/>
          <w:sz w:val="20"/>
          <w:szCs w:val="20"/>
        </w:rPr>
        <w:t xml:space="preserve">Alla fine del percorso </w:t>
      </w:r>
      <w:r>
        <w:rPr>
          <w:rFonts w:ascii="Verdana" w:hAnsi="Verdana"/>
          <w:sz w:val="20"/>
          <w:szCs w:val="20"/>
        </w:rPr>
        <w:t xml:space="preserve"> si è arrivati a facilitare il lavoro dei docenti che hanno visto la corrispondenza tra le schede di certificazione del MIUR e le rubriche elaborate durante il Corso. Infatti un file interattivo rende possibile ai docenti della rete di compilare la scheda attivando collegamenti ipertestuali che  connettono le voci delle schede MIUR con quelle delle stesse rubriche.</w:t>
      </w:r>
    </w:p>
    <w:p w:rsidR="00CF1741" w:rsidRDefault="00CF1741" w:rsidP="001A71C8">
      <w:pPr>
        <w:tabs>
          <w:tab w:val="left" w:pos="2745"/>
        </w:tabs>
        <w:spacing w:after="0" w:line="360" w:lineRule="auto"/>
        <w:jc w:val="both"/>
        <w:rPr>
          <w:rFonts w:ascii="Verdana" w:hAnsi="Verdana"/>
          <w:sz w:val="20"/>
          <w:szCs w:val="20"/>
        </w:rPr>
      </w:pPr>
    </w:p>
    <w:p w:rsidR="00CF1741" w:rsidRPr="00CF1741" w:rsidRDefault="00CF1741" w:rsidP="001A71C8">
      <w:pPr>
        <w:tabs>
          <w:tab w:val="left" w:pos="2745"/>
        </w:tabs>
        <w:spacing w:after="0" w:line="360" w:lineRule="auto"/>
        <w:jc w:val="both"/>
        <w:rPr>
          <w:rFonts w:ascii="Verdana" w:hAnsi="Verdana"/>
          <w:sz w:val="20"/>
          <w:szCs w:val="20"/>
        </w:rPr>
      </w:pPr>
      <w:r>
        <w:rPr>
          <w:rFonts w:ascii="Verdana" w:hAnsi="Verdana"/>
          <w:sz w:val="20"/>
          <w:szCs w:val="20"/>
        </w:rPr>
        <w:t xml:space="preserve">A maggiore chiarezza del percorso si allega la sua documentazione analitica ( cfr </w:t>
      </w:r>
      <w:r w:rsidRPr="00CF1741">
        <w:rPr>
          <w:rFonts w:ascii="Verdana" w:hAnsi="Verdana"/>
          <w:b/>
          <w:sz w:val="20"/>
          <w:szCs w:val="20"/>
        </w:rPr>
        <w:t>ALL</w:t>
      </w:r>
      <w:r>
        <w:rPr>
          <w:rFonts w:ascii="Verdana" w:hAnsi="Verdana"/>
          <w:b/>
          <w:sz w:val="20"/>
          <w:szCs w:val="20"/>
        </w:rPr>
        <w:t>EGATO</w:t>
      </w:r>
      <w:r>
        <w:rPr>
          <w:rFonts w:ascii="Verdana" w:hAnsi="Verdana"/>
          <w:sz w:val="20"/>
          <w:szCs w:val="20"/>
        </w:rPr>
        <w:t xml:space="preserve">) </w:t>
      </w:r>
    </w:p>
    <w:sectPr w:rsidR="00CF1741" w:rsidRPr="00CF1741" w:rsidSect="00520A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FE8"/>
      </v:shape>
    </w:pict>
  </w:numPicBullet>
  <w:abstractNum w:abstractNumId="0">
    <w:nsid w:val="FFFFFF89"/>
    <w:multiLevelType w:val="singleLevel"/>
    <w:tmpl w:val="A4B2BE4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47A420A1"/>
    <w:multiLevelType w:val="hybridMultilevel"/>
    <w:tmpl w:val="E1D8B65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A5564F"/>
    <w:multiLevelType w:val="hybridMultilevel"/>
    <w:tmpl w:val="5844C13A"/>
    <w:lvl w:ilvl="0" w:tplc="77A8076C">
      <w:start w:val="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00"/>
        </w:tabs>
        <w:ind w:left="300" w:hanging="360"/>
      </w:pPr>
      <w:rPr>
        <w:rFonts w:ascii="Courier New" w:hAnsi="Courier New" w:cs="Courier New" w:hint="default"/>
      </w:rPr>
    </w:lvl>
    <w:lvl w:ilvl="2" w:tplc="04100005" w:tentative="1">
      <w:start w:val="1"/>
      <w:numFmt w:val="bullet"/>
      <w:lvlText w:val=""/>
      <w:lvlJc w:val="left"/>
      <w:pPr>
        <w:tabs>
          <w:tab w:val="num" w:pos="1020"/>
        </w:tabs>
        <w:ind w:left="1020" w:hanging="360"/>
      </w:pPr>
      <w:rPr>
        <w:rFonts w:ascii="Wingdings" w:hAnsi="Wingdings" w:hint="default"/>
      </w:rPr>
    </w:lvl>
    <w:lvl w:ilvl="3" w:tplc="04100001" w:tentative="1">
      <w:start w:val="1"/>
      <w:numFmt w:val="bullet"/>
      <w:lvlText w:val=""/>
      <w:lvlJc w:val="left"/>
      <w:pPr>
        <w:tabs>
          <w:tab w:val="num" w:pos="1740"/>
        </w:tabs>
        <w:ind w:left="1740" w:hanging="360"/>
      </w:pPr>
      <w:rPr>
        <w:rFonts w:ascii="Symbol" w:hAnsi="Symbol" w:hint="default"/>
      </w:rPr>
    </w:lvl>
    <w:lvl w:ilvl="4" w:tplc="04100003" w:tentative="1">
      <w:start w:val="1"/>
      <w:numFmt w:val="bullet"/>
      <w:lvlText w:val="o"/>
      <w:lvlJc w:val="left"/>
      <w:pPr>
        <w:tabs>
          <w:tab w:val="num" w:pos="2460"/>
        </w:tabs>
        <w:ind w:left="2460" w:hanging="360"/>
      </w:pPr>
      <w:rPr>
        <w:rFonts w:ascii="Courier New" w:hAnsi="Courier New" w:cs="Courier New" w:hint="default"/>
      </w:rPr>
    </w:lvl>
    <w:lvl w:ilvl="5" w:tplc="04100005" w:tentative="1">
      <w:start w:val="1"/>
      <w:numFmt w:val="bullet"/>
      <w:lvlText w:val=""/>
      <w:lvlJc w:val="left"/>
      <w:pPr>
        <w:tabs>
          <w:tab w:val="num" w:pos="3180"/>
        </w:tabs>
        <w:ind w:left="3180" w:hanging="360"/>
      </w:pPr>
      <w:rPr>
        <w:rFonts w:ascii="Wingdings" w:hAnsi="Wingdings" w:hint="default"/>
      </w:rPr>
    </w:lvl>
    <w:lvl w:ilvl="6" w:tplc="04100001" w:tentative="1">
      <w:start w:val="1"/>
      <w:numFmt w:val="bullet"/>
      <w:lvlText w:val=""/>
      <w:lvlJc w:val="left"/>
      <w:pPr>
        <w:tabs>
          <w:tab w:val="num" w:pos="3900"/>
        </w:tabs>
        <w:ind w:left="3900" w:hanging="360"/>
      </w:pPr>
      <w:rPr>
        <w:rFonts w:ascii="Symbol" w:hAnsi="Symbol" w:hint="default"/>
      </w:rPr>
    </w:lvl>
    <w:lvl w:ilvl="7" w:tplc="04100003" w:tentative="1">
      <w:start w:val="1"/>
      <w:numFmt w:val="bullet"/>
      <w:lvlText w:val="o"/>
      <w:lvlJc w:val="left"/>
      <w:pPr>
        <w:tabs>
          <w:tab w:val="num" w:pos="4620"/>
        </w:tabs>
        <w:ind w:left="4620" w:hanging="360"/>
      </w:pPr>
      <w:rPr>
        <w:rFonts w:ascii="Courier New" w:hAnsi="Courier New" w:cs="Courier New" w:hint="default"/>
      </w:rPr>
    </w:lvl>
    <w:lvl w:ilvl="8" w:tplc="04100005" w:tentative="1">
      <w:start w:val="1"/>
      <w:numFmt w:val="bullet"/>
      <w:lvlText w:val=""/>
      <w:lvlJc w:val="left"/>
      <w:pPr>
        <w:tabs>
          <w:tab w:val="num" w:pos="5340"/>
        </w:tabs>
        <w:ind w:left="53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CC"/>
    <w:rsid w:val="00184764"/>
    <w:rsid w:val="001A71C8"/>
    <w:rsid w:val="002E5833"/>
    <w:rsid w:val="00326FCE"/>
    <w:rsid w:val="00367745"/>
    <w:rsid w:val="003853D8"/>
    <w:rsid w:val="004332D6"/>
    <w:rsid w:val="00457AAB"/>
    <w:rsid w:val="005013A5"/>
    <w:rsid w:val="00520A58"/>
    <w:rsid w:val="005422CC"/>
    <w:rsid w:val="005E5A90"/>
    <w:rsid w:val="00692613"/>
    <w:rsid w:val="006A52DA"/>
    <w:rsid w:val="006C5A78"/>
    <w:rsid w:val="00716D34"/>
    <w:rsid w:val="00785079"/>
    <w:rsid w:val="007941A1"/>
    <w:rsid w:val="007A122C"/>
    <w:rsid w:val="00964BCF"/>
    <w:rsid w:val="009C21C9"/>
    <w:rsid w:val="00A83798"/>
    <w:rsid w:val="00BE2EF2"/>
    <w:rsid w:val="00CF1741"/>
    <w:rsid w:val="00E9608B"/>
    <w:rsid w:val="00EB23A1"/>
    <w:rsid w:val="00FF7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22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2CC"/>
    <w:rPr>
      <w:rFonts w:ascii="Tahoma" w:hAnsi="Tahoma" w:cs="Tahoma"/>
      <w:sz w:val="16"/>
      <w:szCs w:val="16"/>
    </w:rPr>
  </w:style>
  <w:style w:type="paragraph" w:styleId="Puntoelenco">
    <w:name w:val="List Bullet"/>
    <w:basedOn w:val="Normale"/>
    <w:rsid w:val="00A83798"/>
    <w:pPr>
      <w:numPr>
        <w:numId w:val="1"/>
      </w:numPr>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F1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422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2CC"/>
    <w:rPr>
      <w:rFonts w:ascii="Tahoma" w:hAnsi="Tahoma" w:cs="Tahoma"/>
      <w:sz w:val="16"/>
      <w:szCs w:val="16"/>
    </w:rPr>
  </w:style>
  <w:style w:type="paragraph" w:styleId="Puntoelenco">
    <w:name w:val="List Bullet"/>
    <w:basedOn w:val="Normale"/>
    <w:rsid w:val="00A83798"/>
    <w:pPr>
      <w:numPr>
        <w:numId w:val="1"/>
      </w:numPr>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F1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00282">
      <w:bodyDiv w:val="1"/>
      <w:marLeft w:val="0"/>
      <w:marRight w:val="0"/>
      <w:marTop w:val="0"/>
      <w:marBottom w:val="0"/>
      <w:divBdr>
        <w:top w:val="none" w:sz="0" w:space="0" w:color="auto"/>
        <w:left w:val="none" w:sz="0" w:space="0" w:color="auto"/>
        <w:bottom w:val="none" w:sz="0" w:space="0" w:color="auto"/>
        <w:right w:val="none" w:sz="0" w:space="0" w:color="auto"/>
      </w:divBdr>
    </w:div>
    <w:div w:id="664673946">
      <w:bodyDiv w:val="1"/>
      <w:marLeft w:val="0"/>
      <w:marRight w:val="0"/>
      <w:marTop w:val="0"/>
      <w:marBottom w:val="0"/>
      <w:divBdr>
        <w:top w:val="none" w:sz="0" w:space="0" w:color="auto"/>
        <w:left w:val="none" w:sz="0" w:space="0" w:color="auto"/>
        <w:bottom w:val="none" w:sz="0" w:space="0" w:color="auto"/>
        <w:right w:val="none" w:sz="0" w:space="0" w:color="auto"/>
      </w:divBdr>
      <w:divsChild>
        <w:div w:id="734549178">
          <w:marLeft w:val="0"/>
          <w:marRight w:val="0"/>
          <w:marTop w:val="0"/>
          <w:marBottom w:val="0"/>
          <w:divBdr>
            <w:top w:val="none" w:sz="0" w:space="0" w:color="auto"/>
            <w:left w:val="none" w:sz="0" w:space="0" w:color="auto"/>
            <w:bottom w:val="none" w:sz="0" w:space="0" w:color="auto"/>
            <w:right w:val="none" w:sz="0" w:space="0" w:color="auto"/>
          </w:divBdr>
        </w:div>
        <w:div w:id="2097971197">
          <w:marLeft w:val="0"/>
          <w:marRight w:val="0"/>
          <w:marTop w:val="0"/>
          <w:marBottom w:val="0"/>
          <w:divBdr>
            <w:top w:val="none" w:sz="0" w:space="0" w:color="auto"/>
            <w:left w:val="none" w:sz="0" w:space="0" w:color="auto"/>
            <w:bottom w:val="none" w:sz="0" w:space="0" w:color="auto"/>
            <w:right w:val="none" w:sz="0" w:space="0" w:color="auto"/>
          </w:divBdr>
        </w:div>
        <w:div w:id="1264611969">
          <w:marLeft w:val="0"/>
          <w:marRight w:val="0"/>
          <w:marTop w:val="0"/>
          <w:marBottom w:val="0"/>
          <w:divBdr>
            <w:top w:val="none" w:sz="0" w:space="0" w:color="auto"/>
            <w:left w:val="none" w:sz="0" w:space="0" w:color="auto"/>
            <w:bottom w:val="none" w:sz="0" w:space="0" w:color="auto"/>
            <w:right w:val="none" w:sz="0" w:space="0" w:color="auto"/>
          </w:divBdr>
        </w:div>
        <w:div w:id="2041974027">
          <w:marLeft w:val="0"/>
          <w:marRight w:val="0"/>
          <w:marTop w:val="0"/>
          <w:marBottom w:val="0"/>
          <w:divBdr>
            <w:top w:val="none" w:sz="0" w:space="0" w:color="auto"/>
            <w:left w:val="none" w:sz="0" w:space="0" w:color="auto"/>
            <w:bottom w:val="none" w:sz="0" w:space="0" w:color="auto"/>
            <w:right w:val="none" w:sz="0" w:space="0" w:color="auto"/>
          </w:divBdr>
        </w:div>
        <w:div w:id="1511985087">
          <w:marLeft w:val="0"/>
          <w:marRight w:val="0"/>
          <w:marTop w:val="0"/>
          <w:marBottom w:val="0"/>
          <w:divBdr>
            <w:top w:val="none" w:sz="0" w:space="0" w:color="auto"/>
            <w:left w:val="none" w:sz="0" w:space="0" w:color="auto"/>
            <w:bottom w:val="none" w:sz="0" w:space="0" w:color="auto"/>
            <w:right w:val="none" w:sz="0" w:space="0" w:color="auto"/>
          </w:divBdr>
        </w:div>
      </w:divsChild>
    </w:div>
    <w:div w:id="794055843">
      <w:bodyDiv w:val="1"/>
      <w:marLeft w:val="0"/>
      <w:marRight w:val="0"/>
      <w:marTop w:val="0"/>
      <w:marBottom w:val="0"/>
      <w:divBdr>
        <w:top w:val="none" w:sz="0" w:space="0" w:color="auto"/>
        <w:left w:val="none" w:sz="0" w:space="0" w:color="auto"/>
        <w:bottom w:val="none" w:sz="0" w:space="0" w:color="auto"/>
        <w:right w:val="none" w:sz="0" w:space="0" w:color="auto"/>
      </w:divBdr>
    </w:div>
    <w:div w:id="1023938533">
      <w:bodyDiv w:val="1"/>
      <w:marLeft w:val="0"/>
      <w:marRight w:val="0"/>
      <w:marTop w:val="0"/>
      <w:marBottom w:val="0"/>
      <w:divBdr>
        <w:top w:val="none" w:sz="0" w:space="0" w:color="auto"/>
        <w:left w:val="none" w:sz="0" w:space="0" w:color="auto"/>
        <w:bottom w:val="none" w:sz="0" w:space="0" w:color="auto"/>
        <w:right w:val="none" w:sz="0" w:space="0" w:color="auto"/>
      </w:divBdr>
      <w:divsChild>
        <w:div w:id="36510108">
          <w:marLeft w:val="0"/>
          <w:marRight w:val="0"/>
          <w:marTop w:val="0"/>
          <w:marBottom w:val="0"/>
          <w:divBdr>
            <w:top w:val="none" w:sz="0" w:space="0" w:color="auto"/>
            <w:left w:val="none" w:sz="0" w:space="0" w:color="auto"/>
            <w:bottom w:val="none" w:sz="0" w:space="0" w:color="auto"/>
            <w:right w:val="none" w:sz="0" w:space="0" w:color="auto"/>
          </w:divBdr>
        </w:div>
        <w:div w:id="295450302">
          <w:marLeft w:val="0"/>
          <w:marRight w:val="0"/>
          <w:marTop w:val="0"/>
          <w:marBottom w:val="0"/>
          <w:divBdr>
            <w:top w:val="none" w:sz="0" w:space="0" w:color="auto"/>
            <w:left w:val="none" w:sz="0" w:space="0" w:color="auto"/>
            <w:bottom w:val="none" w:sz="0" w:space="0" w:color="auto"/>
            <w:right w:val="none" w:sz="0" w:space="0" w:color="auto"/>
          </w:divBdr>
        </w:div>
        <w:div w:id="531915921">
          <w:marLeft w:val="0"/>
          <w:marRight w:val="0"/>
          <w:marTop w:val="0"/>
          <w:marBottom w:val="0"/>
          <w:divBdr>
            <w:top w:val="none" w:sz="0" w:space="0" w:color="auto"/>
            <w:left w:val="none" w:sz="0" w:space="0" w:color="auto"/>
            <w:bottom w:val="none" w:sz="0" w:space="0" w:color="auto"/>
            <w:right w:val="none" w:sz="0" w:space="0" w:color="auto"/>
          </w:divBdr>
        </w:div>
      </w:divsChild>
    </w:div>
    <w:div w:id="20211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1066</Words>
  <Characters>6080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Susy</cp:lastModifiedBy>
  <cp:revision>4</cp:revision>
  <dcterms:created xsi:type="dcterms:W3CDTF">2016-07-19T11:28:00Z</dcterms:created>
  <dcterms:modified xsi:type="dcterms:W3CDTF">2016-07-22T14:51:00Z</dcterms:modified>
</cp:coreProperties>
</file>